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莆城政〔2012〕212号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莆田市城厢区人民政府关于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对病死畜禽实行无害化处理的通告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各镇人民政府、街道办事处，区直有关单位：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为加强病死畜禽无害化处理，严厉打击经营、运输、屠宰、加工及随意丢弃病死畜禽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违法行为，确保人民群众身体健康，根据《中华人民共和国动物防疫法》《中华人民共和国农产品质量安全法》等法律法规和《莆田市人民政府关于规范畜禽养殖管理的实施意见》（莆政综〔2012〕49号）文件规定，现就我区病死畜禽无害化处理工作通告如下：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一、各镇人民政府、街道办事处要加快病死畜禽无害化处理公共设施建设，强化无害化处理设施使用管理，逐步实现可养区村村有设施、设施有专人管理的目标。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二、畜禽饲养场（户）要对生产过程中产生的病死畜禽进行无害化处理。附近有无害化处理公共设施的，应在公共设施内进行无害化处理。附近没有无害化处理设施的，应在安全的地方进行深埋、焚烧。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三、生猪年出栏1000头以上或家禽存栏5000羽以上的畜禽养殖场、生猪定点屠宰场等要配套建设病死畜禽无害化处理设施，对病死畜禽及其产品进行无害化处理，并做好摄像和相关记录。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四、禁止任何单位和个人经营、运输、屠宰、加工及随意丢弃病死畜禽及其产品。禁止任何单位和个人为经营、运输、屠宰、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贮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藏、加工病死畜禽提供场所、设备、运载工具或其他与之相关的服务。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五、病死畜禽无害化处理实行属地管理原则。对来源不明的陆地、水体中的病死畜禽，由所在地镇人民政府或街道办事处负责进行无害化处理。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六、对随意丢弃病死畜禽的行为，镇（街道）、行政村要制定乡规民约等有关制度给予规范、约束及必要的处罚，促进群众互相监督，共同维护公共卫生和食品质量安全。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七、各镇（街道）和区直有关职能部门应采取多种形式，宣传《中华人民共和国动物防疫法》《中华人民共和国农产品质量安全法》等有关法律法规，宣传经营、运输、屠宰、加工和随意丢弃病死畜禽违法行为的危害性，提高群众公共卫生意识和自我保护能力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八、从事与畜禽饲养、经营、加工有关的单位、个人及村级动物防疫员发现畜禽群体发病或死亡的，应当及时向所在地镇人民政府、街道办事处和区动物卫生监督机构报告。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九、农业、工商、质监、卫生、经贸、公安等部门要各司其职，加强对病死畜禽及其产品的流通、屠宰、加工、餐饮等环节的监管，依法从严查处非法处置病死畜禽及其制品的行为。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十、有下列违法行为之一的，由农业、工商、质监、卫生、经贸、公安等相关职能部门依照有关规定从严处罚，构成犯罪的要依法追究刑事责任：（一）屠宰、经营、加工、贮藏、运输病死畜禽及其产品的；（二）为屠宰、经营、加工、贮藏、运输病死畜禽及其产品提供场所、运输服务的；（三）饲养场（养殖小区）、隔离场所、动物屠宰场所未依法建设动物无害化处理设施的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十一、鼓励对经营、运输、屠宰、贮藏、加工和随意丢弃病死畜禽等违法行为进行举报，对举报有功人员予以奖励，并为举报人保密。对举报人员进行打击报复的，由公安司法机关依法予以严惩。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十二、区直有关职能部门、各镇（街道）要设立举报电话、举报信箱、举报地址，共同打击非法经营、运输、屠宰、加工和随意丢弃病死畜禽行为，形成群众参与、社会监督的格局。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区农业局举报电话：0594-2686709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区食安办举报电话：0594-2693122</w:t>
      </w:r>
    </w:p>
    <w:p>
      <w:pPr>
        <w:widowControl w:val="0"/>
        <w:numPr>
          <w:ilvl w:val="0"/>
          <w:numId w:val="1"/>
        </w:numPr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本通告自发布之日起施行。</w:t>
      </w:r>
    </w:p>
    <w:p>
      <w:pPr>
        <w:widowControl w:val="0"/>
        <w:numPr>
          <w:ilvl w:val="0"/>
          <w:numId w:val="1"/>
        </w:numPr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特此通告。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 w:val="0"/>
        <w:adjustRightInd w:val="0"/>
        <w:snapToGrid w:val="0"/>
        <w:spacing w:before="0" w:after="0" w:line="264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○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一二年六月十八日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64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/>
        </w:rPr>
      </w:pPr>
    </w:p>
    <w:tbl>
      <w:tblPr>
        <w:tblW w:w="906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61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抄送：区委、区人大、区政协、区纪委办公室。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061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莆田市城厢区人民政府办公室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2012年6月18日印发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"/>
          <w:szCs w:val="2"/>
          <w:lang w:val="en-US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aperSrc w:first="0" w:oth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Arial"/>
        <w:kern w:val="2"/>
        <w:sz w:val="18"/>
        <w:szCs w:val="22"/>
        <w:lang w:val="en-US" w:eastAsia="zh-CN" w:bidi="ar-SA"/>
      </w:rPr>
      <w:pict>
        <v:shape id="文本框1" o:spid="_x0000_s1025" type="#_x0000_t202" style="position:absolute;left:0;margin-top:-18.75pt;height:18.2pt;width:35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92843017">
    <w:nsid w:val="64E6BC09"/>
    <w:multiLevelType w:val="singleLevel"/>
    <w:tmpl w:val="64E6BC09"/>
    <w:lvl w:ilvl="0" w:tentative="1">
      <w:start w:val="13"/>
      <w:numFmt w:val="chineseCounting"/>
      <w:suff w:val="nothing"/>
      <w:lvlText w:val="%1、"/>
      <w:lvlJc w:val="left"/>
    </w:lvl>
  </w:abstractNum>
  <w:num w:numId="1">
    <w:abstractNumId w:val="16928430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1423</Words>
  <Characters>1471</Characters>
  <Lines>0</Lines>
  <Paragraphs>36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2023-08-23T02:39:00Z</dcterms:created>
  <dc:creator>SPN-AL00</dc:creator>
  <cp:lastModifiedBy>lenovo</cp:lastModifiedBy>
  <cp:lastPrinted>2023-08-23T10:20:00Z</cp:lastPrinted>
  <dcterms:modified xsi:type="dcterms:W3CDTF">2023-08-24T02:08:51Z</dcterms:modified>
  <dc:title>莆城政〔2012〕212号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3916ea04a11045768e42a17521c858b8_21</vt:lpwstr>
  </property>
  <property fmtid="{D5CDD505-2E9C-101B-9397-08002B2CF9AE}" pid="3" name="KSOProductBuildVer">
    <vt:lpwstr>2052-9.1.0.4472</vt:lpwstr>
  </property>
</Properties>
</file>