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val="0"/>
        <w:snapToGrid w:val="0"/>
        <w:spacing w:before="0" w:after="0" w:line="240" w:lineRule="auto"/>
        <w:ind w:left="0" w:leftChars="0" w:right="0" w:firstLine="0" w:firstLineChars="0"/>
        <w:jc w:val="center"/>
        <w:textAlignment w:val="auto"/>
        <w:outlineLvl w:val="9"/>
        <w:rPr>
          <w:rFonts w:hint="eastAsia"/>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sz w:val="32"/>
          <w:szCs w:val="32"/>
        </w:rPr>
      </w:pPr>
      <w:bookmarkStart w:id="0" w:name="_GoBack"/>
      <w:bookmarkEnd w:id="0"/>
    </w:p>
    <w:p>
      <w:pPr>
        <w:widowControl w:val="0"/>
        <w:wordWrap/>
        <w:adjustRightInd w:val="0"/>
        <w:snapToGrid w:val="0"/>
        <w:spacing w:before="0" w:after="0" w:line="240" w:lineRule="auto"/>
        <w:ind w:left="0" w:leftChars="0" w:right="0" w:firstLine="0" w:firstLineChars="0"/>
        <w:jc w:val="center"/>
        <w:textAlignment w:val="auto"/>
        <w:outlineLvl w:val="9"/>
        <w:rPr>
          <w:rFonts w:hint="eastAsia"/>
          <w:sz w:val="32"/>
          <w:szCs w:val="32"/>
        </w:rPr>
      </w:pPr>
    </w:p>
    <w:p>
      <w:pPr>
        <w:widowControl w:val="0"/>
        <w:tabs>
          <w:tab w:val="left" w:pos="6381"/>
        </w:tabs>
        <w:wordWrap/>
        <w:adjustRightInd w:val="0"/>
        <w:snapToGrid w:val="0"/>
        <w:spacing w:before="0" w:after="0" w:line="240" w:lineRule="auto"/>
        <w:ind w:left="0" w:leftChars="0" w:right="0" w:firstLine="0" w:firstLineChars="0"/>
        <w:jc w:val="center"/>
        <w:textAlignment w:val="auto"/>
        <w:outlineLvl w:val="9"/>
        <w:rPr>
          <w:rFonts w:hint="eastAsia" w:eastAsia="宋体"/>
          <w:sz w:val="32"/>
          <w:szCs w:val="32"/>
          <w:lang w:eastAsia="zh-CN"/>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sz w:val="40"/>
          <w:szCs w:val="40"/>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莆城政〔201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号</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sz w:val="32"/>
          <w:szCs w:val="32"/>
        </w:rPr>
      </w:pPr>
    </w:p>
    <w:p>
      <w:pPr>
        <w:adjustRightInd w:val="0"/>
        <w:snapToGrid w:val="0"/>
        <w:spacing w:line="560" w:lineRule="exact"/>
        <w:jc w:val="center"/>
        <w:rPr>
          <w:rFonts w:hint="eastAsia" w:ascii="方正小标宋简体" w:hAnsi="方正小标宋简体" w:eastAsia="方正小标宋简体" w:cs="方正小标宋简体"/>
          <w:b w:val="0"/>
          <w:bCs/>
          <w:color w:val="000000"/>
          <w:sz w:val="40"/>
          <w:szCs w:val="40"/>
        </w:rPr>
      </w:pPr>
      <w:r>
        <w:rPr>
          <w:rFonts w:hint="eastAsia" w:ascii="方正小标宋简体" w:hAnsi="方正小标宋简体" w:eastAsia="方正小标宋简体" w:cs="方正小标宋简体"/>
          <w:b w:val="0"/>
          <w:bCs/>
          <w:color w:val="000000"/>
          <w:sz w:val="40"/>
          <w:szCs w:val="40"/>
        </w:rPr>
        <w:t>莆田市城厢区人民政府关于</w:t>
      </w:r>
    </w:p>
    <w:p>
      <w:pPr>
        <w:adjustRightInd w:val="0"/>
        <w:snapToGrid w:val="0"/>
        <w:spacing w:line="560" w:lineRule="exact"/>
        <w:jc w:val="center"/>
        <w:rPr>
          <w:rFonts w:hint="eastAsia" w:ascii="方正小标宋简体" w:hAnsi="方正小标宋简体" w:eastAsia="方正小标宋简体" w:cs="方正小标宋简体"/>
          <w:b w:val="0"/>
          <w:bCs/>
          <w:color w:val="000000"/>
          <w:sz w:val="40"/>
          <w:szCs w:val="40"/>
        </w:rPr>
      </w:pPr>
      <w:r>
        <w:rPr>
          <w:rFonts w:hint="eastAsia" w:ascii="方正小标宋简体" w:hAnsi="方正小标宋简体" w:eastAsia="方正小标宋简体" w:cs="方正小标宋简体"/>
          <w:b w:val="0"/>
          <w:bCs/>
          <w:color w:val="000000"/>
          <w:sz w:val="40"/>
          <w:szCs w:val="40"/>
        </w:rPr>
        <w:t>城厢区促进建筑业发展壮大的实施意见</w:t>
      </w:r>
    </w:p>
    <w:p>
      <w:pPr>
        <w:widowControl w:val="0"/>
        <w:wordWrap/>
        <w:adjustRightInd w:val="0"/>
        <w:snapToGrid w:val="0"/>
        <w:spacing w:before="0" w:after="0" w:line="336" w:lineRule="auto"/>
        <w:ind w:left="0" w:leftChars="0" w:right="0" w:firstLine="880" w:firstLineChars="200"/>
        <w:jc w:val="both"/>
        <w:textAlignment w:val="auto"/>
        <w:outlineLvl w:val="9"/>
        <w:rPr>
          <w:rFonts w:hint="eastAsia" w:ascii="方正小标宋简体" w:hAnsi="方正小标宋简体" w:eastAsia="方正小标宋简体" w:cs="方正小标宋简体"/>
          <w:b/>
          <w:color w:val="000000"/>
          <w:sz w:val="32"/>
          <w:szCs w:val="32"/>
        </w:rPr>
      </w:pPr>
    </w:p>
    <w:p>
      <w:pPr>
        <w:widowControl w:val="0"/>
        <w:wordWrap/>
        <w:adjustRightInd w:val="0"/>
        <w:snapToGrid w:val="0"/>
        <w:spacing w:before="0" w:after="0" w:line="336" w:lineRule="auto"/>
        <w:ind w:right="0"/>
        <w:jc w:val="both"/>
        <w:textAlignment w:val="auto"/>
        <w:outlineLvl w:val="9"/>
        <w:rPr>
          <w:rFonts w:hint="eastAsia" w:ascii="仿宋_GB2312" w:hAnsi="仿宋" w:eastAsia="仿宋_GB2312"/>
          <w:bCs/>
          <w:color w:val="000000"/>
          <w:sz w:val="32"/>
          <w:szCs w:val="32"/>
        </w:rPr>
      </w:pPr>
      <w:r>
        <w:rPr>
          <w:rFonts w:hint="eastAsia" w:ascii="仿宋_GB2312" w:hAnsi="仿宋" w:eastAsia="仿宋_GB2312"/>
          <w:bCs/>
          <w:color w:val="000000"/>
          <w:sz w:val="32"/>
          <w:szCs w:val="32"/>
        </w:rPr>
        <w:t>各镇人民政府、街道办事处，区直有关单位</w:t>
      </w:r>
      <w:r>
        <w:rPr>
          <w:rFonts w:hint="eastAsia" w:ascii="仿宋_GB2312" w:hAnsi="仿宋" w:eastAsia="仿宋_GB2312"/>
          <w:bCs/>
          <w:color w:val="000000"/>
          <w:sz w:val="32"/>
          <w:szCs w:val="32"/>
          <w:lang w:eastAsia="zh-CN"/>
        </w:rPr>
        <w:t>：</w:t>
      </w:r>
    </w:p>
    <w:p>
      <w:pPr>
        <w:widowControl w:val="0"/>
        <w:wordWrap/>
        <w:adjustRightInd w:val="0"/>
        <w:snapToGrid w:val="0"/>
        <w:spacing w:before="0" w:after="0" w:line="336" w:lineRule="auto"/>
        <w:ind w:left="0" w:leftChars="0" w:right="0" w:firstLine="880" w:firstLineChars="200"/>
        <w:jc w:val="both"/>
        <w:textAlignment w:val="auto"/>
        <w:outlineLvl w:val="9"/>
        <w:rPr>
          <w:rFonts w:hint="eastAsia" w:ascii="仿宋_GB2312" w:hAnsi="仿宋" w:eastAsia="仿宋_GB2312"/>
          <w:bCs/>
          <w:color w:val="000000"/>
          <w:sz w:val="32"/>
          <w:szCs w:val="32"/>
        </w:rPr>
      </w:pPr>
      <w:r>
        <w:rPr>
          <w:rFonts w:hint="eastAsia" w:ascii="仿宋_GB2312" w:hAnsi="仿宋" w:eastAsia="仿宋_GB2312"/>
          <w:bCs/>
          <w:color w:val="000000"/>
          <w:sz w:val="32"/>
          <w:szCs w:val="32"/>
        </w:rPr>
        <w:t>经区政府第37次</w:t>
      </w:r>
      <w:r>
        <w:rPr>
          <w:rFonts w:hint="eastAsia" w:ascii="仿宋_GB2312" w:hAnsi="仿宋" w:eastAsia="仿宋_GB2312"/>
          <w:bCs/>
          <w:color w:val="000000"/>
          <w:sz w:val="32"/>
          <w:szCs w:val="32"/>
          <w:lang w:val="en-US" w:eastAsia="zh-CN"/>
        </w:rPr>
        <w:t>常务</w:t>
      </w:r>
      <w:r>
        <w:rPr>
          <w:rFonts w:hint="eastAsia" w:ascii="仿宋_GB2312" w:hAnsi="仿宋" w:eastAsia="仿宋_GB2312"/>
          <w:bCs/>
          <w:color w:val="000000"/>
          <w:sz w:val="32"/>
          <w:szCs w:val="32"/>
        </w:rPr>
        <w:t>会议研究</w:t>
      </w:r>
      <w:r>
        <w:rPr>
          <w:rFonts w:hint="eastAsia" w:ascii="仿宋_GB2312" w:hAnsi="仿宋" w:eastAsia="仿宋_GB2312"/>
          <w:bCs/>
          <w:color w:val="000000"/>
          <w:sz w:val="32"/>
          <w:szCs w:val="32"/>
          <w:lang w:val="en-US" w:eastAsia="zh-CN"/>
        </w:rPr>
        <w:t>同意</w:t>
      </w:r>
      <w:r>
        <w:rPr>
          <w:rFonts w:hint="eastAsia" w:ascii="仿宋_GB2312" w:hAnsi="仿宋" w:eastAsia="仿宋_GB2312"/>
          <w:bCs/>
          <w:color w:val="000000"/>
          <w:sz w:val="32"/>
          <w:szCs w:val="32"/>
        </w:rPr>
        <w:t>，现将新修订的《莆田市城厢区人民政府关于城厢区促进建筑业发展壮大的实施意见》印发给你们，请认真抓好</w:t>
      </w:r>
      <w:r>
        <w:rPr>
          <w:rFonts w:hint="eastAsia" w:ascii="仿宋_GB2312" w:hAnsi="仿宋" w:eastAsia="仿宋_GB2312"/>
          <w:bCs/>
          <w:color w:val="000000"/>
          <w:sz w:val="32"/>
          <w:szCs w:val="32"/>
          <w:lang w:val="en-US" w:eastAsia="zh-CN"/>
        </w:rPr>
        <w:t>落实</w:t>
      </w:r>
      <w:r>
        <w:rPr>
          <w:rFonts w:hint="eastAsia" w:ascii="仿宋_GB2312" w:hAnsi="仿宋" w:eastAsia="仿宋_GB2312"/>
          <w:bCs/>
          <w:color w:val="000000"/>
          <w:sz w:val="32"/>
          <w:szCs w:val="32"/>
        </w:rPr>
        <w:t>。</w:t>
      </w:r>
    </w:p>
    <w:p>
      <w:pPr>
        <w:widowControl w:val="0"/>
        <w:wordWrap/>
        <w:adjustRightInd w:val="0"/>
        <w:snapToGrid w:val="0"/>
        <w:spacing w:before="0" w:after="0" w:line="336" w:lineRule="auto"/>
        <w:ind w:left="0" w:leftChars="0" w:right="0" w:firstLine="880" w:firstLineChars="200"/>
        <w:jc w:val="both"/>
        <w:textAlignment w:val="auto"/>
        <w:outlineLvl w:val="9"/>
        <w:rPr>
          <w:rFonts w:hint="eastAsia" w:ascii="仿宋_GB2312" w:hAnsi="仿宋" w:eastAsia="仿宋_GB2312"/>
          <w:bCs/>
          <w:color w:val="000000"/>
          <w:sz w:val="32"/>
          <w:szCs w:val="32"/>
        </w:rPr>
      </w:pPr>
    </w:p>
    <w:p>
      <w:pPr>
        <w:widowControl w:val="0"/>
        <w:wordWrap/>
        <w:adjustRightInd w:val="0"/>
        <w:snapToGrid w:val="0"/>
        <w:spacing w:before="0" w:after="0" w:line="336" w:lineRule="auto"/>
        <w:ind w:left="0" w:leftChars="0" w:right="0" w:firstLine="880" w:firstLineChars="200"/>
        <w:jc w:val="both"/>
        <w:textAlignment w:val="auto"/>
        <w:outlineLvl w:val="9"/>
        <w:rPr>
          <w:rFonts w:hint="eastAsia" w:ascii="仿宋_GB2312" w:hAnsi="仿宋" w:eastAsia="仿宋_GB2312"/>
          <w:bCs/>
          <w:color w:val="000000"/>
          <w:sz w:val="32"/>
          <w:szCs w:val="32"/>
          <w:lang w:val="en-US" w:eastAsia="zh-CN"/>
        </w:rPr>
      </w:pPr>
    </w:p>
    <w:p>
      <w:pPr>
        <w:widowControl w:val="0"/>
        <w:wordWrap/>
        <w:adjustRightInd w:val="0"/>
        <w:snapToGrid w:val="0"/>
        <w:spacing w:before="0" w:after="0" w:line="336" w:lineRule="auto"/>
        <w:ind w:left="0" w:leftChars="0" w:right="0" w:firstLine="880" w:firstLineChars="200"/>
        <w:jc w:val="both"/>
        <w:textAlignment w:val="auto"/>
        <w:outlineLvl w:val="9"/>
        <w:rPr>
          <w:rFonts w:hint="eastAsia" w:ascii="仿宋_GB2312" w:hAnsi="仿宋" w:eastAsia="仿宋_GB2312"/>
          <w:bCs/>
          <w:color w:val="000000"/>
          <w:sz w:val="32"/>
          <w:szCs w:val="32"/>
          <w:lang w:val="en-US" w:eastAsia="zh-CN"/>
        </w:rPr>
      </w:pPr>
    </w:p>
    <w:p>
      <w:pPr>
        <w:widowControl w:val="0"/>
        <w:wordWrap w:val="0"/>
        <w:adjustRightInd w:val="0"/>
        <w:snapToGrid w:val="0"/>
        <w:spacing w:before="0" w:after="0" w:line="336" w:lineRule="auto"/>
        <w:ind w:left="0" w:leftChars="0" w:right="0" w:firstLine="880" w:firstLineChars="200"/>
        <w:jc w:val="right"/>
        <w:textAlignment w:val="auto"/>
        <w:outlineLvl w:val="9"/>
        <w:rPr>
          <w:rFonts w:hint="eastAsia" w:ascii="仿宋_GB2312" w:hAnsi="仿宋" w:eastAsia="仿宋_GB2312"/>
          <w:bCs/>
          <w:color w:val="000000"/>
          <w:sz w:val="32"/>
          <w:szCs w:val="32"/>
        </w:rPr>
      </w:pPr>
      <w:r>
        <w:rPr>
          <w:rFonts w:hint="eastAsia" w:ascii="仿宋_GB2312" w:hAnsi="仿宋" w:eastAsia="仿宋_GB2312"/>
          <w:bCs/>
          <w:color w:val="000000"/>
          <w:sz w:val="32"/>
          <w:szCs w:val="32"/>
        </w:rPr>
        <w:t>莆田市城厢区人民政府</w:t>
      </w:r>
      <w:r>
        <w:rPr>
          <w:rFonts w:hint="eastAsia" w:ascii="仿宋_GB2312" w:hAnsi="仿宋" w:eastAsia="仿宋_GB2312"/>
          <w:bCs/>
          <w:color w:val="000000"/>
          <w:sz w:val="32"/>
          <w:szCs w:val="32"/>
          <w:lang w:val="en-US" w:eastAsia="zh-CN"/>
        </w:rPr>
        <w:t xml:space="preserve">      </w:t>
      </w:r>
    </w:p>
    <w:p>
      <w:pPr>
        <w:widowControl w:val="0"/>
        <w:wordWrap w:val="0"/>
        <w:adjustRightInd w:val="0"/>
        <w:snapToGrid w:val="0"/>
        <w:spacing w:before="0" w:after="0" w:line="336" w:lineRule="auto"/>
        <w:ind w:left="0" w:leftChars="0" w:right="0" w:firstLine="880" w:firstLineChars="200"/>
        <w:jc w:val="right"/>
        <w:textAlignment w:val="auto"/>
        <w:outlineLvl w:val="9"/>
        <w:rPr>
          <w:rFonts w:hint="eastAsia" w:ascii="仿宋_GB2312" w:hAnsi="仿宋" w:eastAsia="仿宋_GB2312"/>
          <w:bCs/>
          <w:color w:val="000000"/>
          <w:sz w:val="32"/>
          <w:szCs w:val="32"/>
        </w:rPr>
      </w:pPr>
      <w:r>
        <w:rPr>
          <w:rFonts w:hint="eastAsia" w:ascii="仿宋_GB2312" w:hAnsi="仿宋" w:eastAsia="仿宋_GB2312"/>
          <w:bCs/>
          <w:color w:val="000000"/>
          <w:sz w:val="32"/>
          <w:szCs w:val="32"/>
        </w:rPr>
        <w:t>2019年</w:t>
      </w:r>
      <w:r>
        <w:rPr>
          <w:rFonts w:hint="eastAsia" w:ascii="仿宋_GB2312" w:hAnsi="仿宋" w:eastAsia="仿宋_GB2312"/>
          <w:bCs/>
          <w:color w:val="000000"/>
          <w:sz w:val="32"/>
          <w:szCs w:val="32"/>
          <w:lang w:val="en-US" w:eastAsia="zh-CN"/>
        </w:rPr>
        <w:t>3</w:t>
      </w:r>
      <w:r>
        <w:rPr>
          <w:rFonts w:hint="eastAsia" w:ascii="仿宋_GB2312" w:hAnsi="仿宋" w:eastAsia="仿宋_GB2312"/>
          <w:bCs/>
          <w:color w:val="000000"/>
          <w:sz w:val="32"/>
          <w:szCs w:val="32"/>
        </w:rPr>
        <w:t>月</w:t>
      </w:r>
      <w:r>
        <w:rPr>
          <w:rFonts w:hint="eastAsia" w:ascii="仿宋_GB2312" w:hAnsi="仿宋" w:eastAsia="仿宋_GB2312"/>
          <w:bCs/>
          <w:color w:val="000000"/>
          <w:sz w:val="32"/>
          <w:szCs w:val="32"/>
          <w:lang w:val="en-US" w:eastAsia="zh-CN"/>
        </w:rPr>
        <w:t>12</w:t>
      </w:r>
      <w:r>
        <w:rPr>
          <w:rFonts w:hint="eastAsia" w:ascii="仿宋_GB2312" w:hAnsi="仿宋" w:eastAsia="仿宋_GB2312"/>
          <w:bCs/>
          <w:color w:val="000000"/>
          <w:sz w:val="32"/>
          <w:szCs w:val="32"/>
        </w:rPr>
        <w:t>日</w:t>
      </w:r>
      <w:r>
        <w:rPr>
          <w:rFonts w:hint="eastAsia" w:ascii="仿宋_GB2312" w:hAnsi="仿宋" w:eastAsia="仿宋_GB2312"/>
          <w:bCs/>
          <w:color w:val="000000"/>
          <w:sz w:val="32"/>
          <w:szCs w:val="32"/>
          <w:lang w:val="en-US" w:eastAsia="zh-CN"/>
        </w:rPr>
        <w:t xml:space="preserve">        </w:t>
      </w:r>
    </w:p>
    <w:p>
      <w:pPr>
        <w:adjustRightInd w:val="0"/>
        <w:snapToGrid w:val="0"/>
        <w:spacing w:line="560" w:lineRule="exact"/>
        <w:jc w:val="center"/>
        <w:rPr>
          <w:rFonts w:ascii="方正小标宋简体" w:hAnsi="方正小标宋简体" w:eastAsia="方正小标宋简体" w:cs="方正小标宋简体"/>
          <w:b w:val="0"/>
          <w:bCs/>
          <w:color w:val="000000"/>
          <w:sz w:val="40"/>
          <w:szCs w:val="40"/>
        </w:rPr>
      </w:pPr>
      <w:r>
        <w:rPr>
          <w:rFonts w:hint="eastAsia" w:ascii="方正小标宋简体" w:hAnsi="方正小标宋简体" w:eastAsia="方正小标宋简体" w:cs="方正小标宋简体"/>
          <w:b/>
          <w:color w:val="000000"/>
          <w:sz w:val="44"/>
          <w:szCs w:val="44"/>
        </w:rPr>
        <w:br w:type="page"/>
      </w:r>
      <w:r>
        <w:rPr>
          <w:rFonts w:hint="eastAsia" w:ascii="方正小标宋简体" w:hAnsi="方正小标宋简体" w:eastAsia="方正小标宋简体" w:cs="方正小标宋简体"/>
          <w:b w:val="0"/>
          <w:bCs/>
          <w:color w:val="000000"/>
          <w:sz w:val="40"/>
          <w:szCs w:val="40"/>
        </w:rPr>
        <w:t>城厢区促进建筑业发展壮大的实施意见</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 w:hAnsi="仿宋" w:eastAsia="仿宋"/>
          <w:b w:val="0"/>
          <w:bCs w:val="0"/>
          <w:color w:val="000000"/>
          <w:sz w:val="32"/>
          <w:szCs w:val="32"/>
        </w:rPr>
      </w:pP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hAnsi="仿宋" w:eastAsia="仿宋_GB2312"/>
          <w:b w:val="0"/>
          <w:bCs w:val="0"/>
          <w:color w:val="000000"/>
          <w:sz w:val="32"/>
          <w:szCs w:val="32"/>
        </w:rPr>
      </w:pPr>
      <w:r>
        <w:rPr>
          <w:rFonts w:hint="eastAsia" w:ascii="仿宋_GB2312" w:hAnsi="仿宋" w:eastAsia="仿宋_GB2312"/>
          <w:b w:val="0"/>
          <w:bCs w:val="0"/>
          <w:color w:val="000000"/>
          <w:sz w:val="32"/>
          <w:szCs w:val="32"/>
        </w:rPr>
        <w:t>根据《国务院办公厅关于促进建筑业持续健康发展的意见》（国办发〔</w:t>
      </w:r>
      <w:r>
        <w:rPr>
          <w:rFonts w:ascii="仿宋_GB2312" w:hAnsi="仿宋" w:eastAsia="仿宋_GB2312"/>
          <w:b w:val="0"/>
          <w:bCs w:val="0"/>
          <w:color w:val="000000"/>
          <w:sz w:val="32"/>
          <w:szCs w:val="32"/>
        </w:rPr>
        <w:t>2017</w:t>
      </w:r>
      <w:r>
        <w:rPr>
          <w:rFonts w:hint="eastAsia" w:ascii="仿宋_GB2312" w:hAnsi="仿宋" w:eastAsia="仿宋_GB2312"/>
          <w:b w:val="0"/>
          <w:bCs w:val="0"/>
          <w:color w:val="000000"/>
          <w:sz w:val="32"/>
          <w:szCs w:val="32"/>
        </w:rPr>
        <w:t>〕</w:t>
      </w:r>
      <w:r>
        <w:rPr>
          <w:rFonts w:ascii="仿宋_GB2312" w:hAnsi="仿宋" w:eastAsia="仿宋_GB2312"/>
          <w:b w:val="0"/>
          <w:bCs w:val="0"/>
          <w:color w:val="000000"/>
          <w:sz w:val="32"/>
          <w:szCs w:val="32"/>
        </w:rPr>
        <w:t>19</w:t>
      </w:r>
      <w:r>
        <w:rPr>
          <w:rFonts w:hint="eastAsia" w:ascii="仿宋_GB2312" w:hAnsi="仿宋" w:eastAsia="仿宋_GB2312"/>
          <w:b w:val="0"/>
          <w:bCs w:val="0"/>
          <w:color w:val="000000"/>
          <w:sz w:val="32"/>
          <w:szCs w:val="32"/>
        </w:rPr>
        <w:t>号）、《福建省人民政府办公厅关于促进建筑业持续健康发展的实施意见》（闽政办〔</w:t>
      </w:r>
      <w:r>
        <w:rPr>
          <w:rFonts w:ascii="仿宋_GB2312" w:hAnsi="仿宋" w:eastAsia="仿宋_GB2312"/>
          <w:b w:val="0"/>
          <w:bCs w:val="0"/>
          <w:color w:val="000000"/>
          <w:sz w:val="32"/>
          <w:szCs w:val="32"/>
        </w:rPr>
        <w:t>2017</w:t>
      </w:r>
      <w:r>
        <w:rPr>
          <w:rFonts w:hint="eastAsia" w:ascii="仿宋_GB2312" w:hAnsi="仿宋" w:eastAsia="仿宋_GB2312"/>
          <w:b w:val="0"/>
          <w:bCs w:val="0"/>
          <w:color w:val="000000"/>
          <w:sz w:val="32"/>
          <w:szCs w:val="32"/>
        </w:rPr>
        <w:t>〕</w:t>
      </w:r>
      <w:r>
        <w:rPr>
          <w:rFonts w:ascii="仿宋_GB2312" w:hAnsi="仿宋" w:eastAsia="仿宋_GB2312"/>
          <w:b w:val="0"/>
          <w:bCs w:val="0"/>
          <w:color w:val="000000"/>
          <w:sz w:val="32"/>
          <w:szCs w:val="32"/>
        </w:rPr>
        <w:t>136</w:t>
      </w:r>
      <w:r>
        <w:rPr>
          <w:rFonts w:hint="eastAsia" w:ascii="仿宋_GB2312" w:hAnsi="仿宋" w:eastAsia="仿宋_GB2312"/>
          <w:b w:val="0"/>
          <w:bCs w:val="0"/>
          <w:color w:val="000000"/>
          <w:sz w:val="32"/>
          <w:szCs w:val="32"/>
        </w:rPr>
        <w:t>号）和《莆田市人民政府关于促进建筑业发展壮大的实施意见》（莆政综〔</w:t>
      </w:r>
      <w:r>
        <w:rPr>
          <w:rFonts w:ascii="仿宋_GB2312" w:hAnsi="仿宋" w:eastAsia="仿宋_GB2312"/>
          <w:b w:val="0"/>
          <w:bCs w:val="0"/>
          <w:color w:val="000000"/>
          <w:sz w:val="32"/>
          <w:szCs w:val="32"/>
        </w:rPr>
        <w:t>2018</w:t>
      </w:r>
      <w:r>
        <w:rPr>
          <w:rFonts w:hint="eastAsia" w:ascii="仿宋_GB2312" w:hAnsi="仿宋" w:eastAsia="仿宋_GB2312"/>
          <w:b w:val="0"/>
          <w:bCs w:val="0"/>
          <w:color w:val="000000"/>
          <w:sz w:val="32"/>
          <w:szCs w:val="32"/>
        </w:rPr>
        <w:t>〕</w:t>
      </w:r>
      <w:r>
        <w:rPr>
          <w:rFonts w:ascii="仿宋_GB2312" w:hAnsi="仿宋" w:eastAsia="仿宋_GB2312"/>
          <w:b w:val="0"/>
          <w:bCs w:val="0"/>
          <w:color w:val="000000"/>
          <w:sz w:val="32"/>
          <w:szCs w:val="32"/>
        </w:rPr>
        <w:t>98</w:t>
      </w:r>
      <w:r>
        <w:rPr>
          <w:rFonts w:hint="eastAsia" w:ascii="仿宋_GB2312" w:hAnsi="仿宋" w:eastAsia="仿宋_GB2312"/>
          <w:b w:val="0"/>
          <w:bCs w:val="0"/>
          <w:color w:val="000000"/>
          <w:sz w:val="32"/>
          <w:szCs w:val="32"/>
        </w:rPr>
        <w:t>号）精神，为进一步发展壮大建筑业，结合本区实际，制定以下意见：</w:t>
      </w:r>
    </w:p>
    <w:p>
      <w:pPr>
        <w:widowControl w:val="0"/>
        <w:wordWrap/>
        <w:adjustRightInd w:val="0"/>
        <w:snapToGrid w:val="0"/>
        <w:spacing w:before="0" w:after="0" w:line="336" w:lineRule="auto"/>
        <w:ind w:left="0" w:leftChars="0" w:right="0" w:firstLine="640" w:firstLineChars="200"/>
        <w:jc w:val="both"/>
        <w:textAlignment w:val="auto"/>
        <w:outlineLvl w:val="9"/>
        <w:rPr>
          <w:rFonts w:ascii="黑体" w:hAnsi="黑体" w:eastAsia="黑体" w:cs="黑体"/>
          <w:b w:val="0"/>
          <w:bCs w:val="0"/>
          <w:color w:val="000000"/>
          <w:sz w:val="32"/>
          <w:szCs w:val="32"/>
        </w:rPr>
      </w:pPr>
      <w:r>
        <w:rPr>
          <w:rFonts w:hint="eastAsia" w:ascii="黑体" w:hAnsi="黑体" w:eastAsia="黑体" w:cs="黑体"/>
          <w:b w:val="0"/>
          <w:bCs w:val="0"/>
          <w:color w:val="000000"/>
          <w:sz w:val="32"/>
          <w:szCs w:val="32"/>
        </w:rPr>
        <w:t>一、指导思想</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hAnsi="黑体" w:eastAsia="仿宋_GB2312"/>
          <w:b w:val="0"/>
          <w:bCs w:val="0"/>
          <w:color w:val="000000"/>
          <w:sz w:val="32"/>
          <w:szCs w:val="32"/>
        </w:rPr>
      </w:pPr>
      <w:r>
        <w:rPr>
          <w:rFonts w:hint="eastAsia" w:ascii="仿宋_GB2312" w:hAnsi="仿宋" w:eastAsia="仿宋_GB2312"/>
          <w:b w:val="0"/>
          <w:bCs w:val="0"/>
          <w:color w:val="000000"/>
          <w:sz w:val="32"/>
          <w:szCs w:val="32"/>
        </w:rPr>
        <w:t>围绕市、区国民经济和社会发展“十三五”规划的发展战略，把建筑业作为本区经济发展的支柱来抓，坚持以建筑市场为导向，加快政策引企、产业聚集、科技创新和人才队伍的建设，增强发展活力，提升建筑企业的市场竞争力，促进本区建筑企业持续健康发展，提高本区建筑业在全市市场份额，力争到</w:t>
      </w:r>
      <w:r>
        <w:rPr>
          <w:rFonts w:ascii="仿宋_GB2312" w:hAnsi="仿宋" w:eastAsia="仿宋_GB2312"/>
          <w:b w:val="0"/>
          <w:bCs w:val="0"/>
          <w:color w:val="000000"/>
          <w:sz w:val="32"/>
          <w:szCs w:val="32"/>
        </w:rPr>
        <w:t>2020</w:t>
      </w:r>
      <w:r>
        <w:rPr>
          <w:rFonts w:hint="eastAsia" w:ascii="仿宋_GB2312" w:hAnsi="仿宋" w:eastAsia="仿宋_GB2312"/>
          <w:b w:val="0"/>
          <w:bCs w:val="0"/>
          <w:color w:val="000000"/>
          <w:sz w:val="32"/>
          <w:szCs w:val="32"/>
        </w:rPr>
        <w:t>年本区建筑业产值达</w:t>
      </w:r>
      <w:r>
        <w:rPr>
          <w:rFonts w:ascii="仿宋_GB2312" w:hAnsi="仿宋" w:eastAsia="仿宋_GB2312"/>
          <w:b w:val="0"/>
          <w:bCs w:val="0"/>
          <w:color w:val="000000"/>
          <w:sz w:val="32"/>
          <w:szCs w:val="32"/>
        </w:rPr>
        <w:t>230</w:t>
      </w:r>
      <w:r>
        <w:rPr>
          <w:rFonts w:hint="eastAsia" w:ascii="仿宋_GB2312" w:hAnsi="仿宋" w:eastAsia="仿宋_GB2312"/>
          <w:b w:val="0"/>
          <w:bCs w:val="0"/>
          <w:color w:val="000000"/>
          <w:sz w:val="32"/>
          <w:szCs w:val="32"/>
        </w:rPr>
        <w:t>亿元。</w:t>
      </w:r>
    </w:p>
    <w:p>
      <w:pPr>
        <w:widowControl w:val="0"/>
        <w:wordWrap/>
        <w:adjustRightInd w:val="0"/>
        <w:snapToGrid w:val="0"/>
        <w:spacing w:before="0" w:after="0" w:line="336" w:lineRule="auto"/>
        <w:ind w:left="0" w:leftChars="0" w:right="0" w:firstLine="640" w:firstLineChars="200"/>
        <w:jc w:val="both"/>
        <w:textAlignment w:val="auto"/>
        <w:outlineLvl w:val="9"/>
        <w:rPr>
          <w:rFonts w:ascii="黑体" w:hAnsi="黑体" w:eastAsia="黑体" w:cs="黑体"/>
          <w:b w:val="0"/>
          <w:bCs w:val="0"/>
          <w:color w:val="000000"/>
          <w:sz w:val="32"/>
          <w:szCs w:val="32"/>
        </w:rPr>
      </w:pPr>
      <w:r>
        <w:rPr>
          <w:rFonts w:hint="eastAsia" w:ascii="黑体" w:hAnsi="黑体" w:eastAsia="黑体" w:cs="黑体"/>
          <w:b w:val="0"/>
          <w:bCs w:val="0"/>
          <w:color w:val="000000"/>
          <w:sz w:val="32"/>
          <w:szCs w:val="32"/>
        </w:rPr>
        <w:t>二、大力支持企业办公</w:t>
      </w:r>
    </w:p>
    <w:p>
      <w:pPr>
        <w:widowControl w:val="0"/>
        <w:wordWrap/>
        <w:adjustRightInd w:val="0"/>
        <w:snapToGrid w:val="0"/>
        <w:spacing w:before="0" w:after="0" w:line="336" w:lineRule="auto"/>
        <w:ind w:left="0" w:leftChars="0" w:right="0" w:firstLine="640" w:firstLineChars="200"/>
        <w:jc w:val="both"/>
        <w:textAlignment w:val="auto"/>
        <w:outlineLvl w:val="9"/>
        <w:rPr>
          <w:rFonts w:ascii="楷体" w:hAnsi="楷体" w:eastAsia="楷体" w:cs="楷体"/>
          <w:b w:val="0"/>
          <w:bCs w:val="0"/>
          <w:color w:val="000000"/>
          <w:sz w:val="32"/>
          <w:szCs w:val="32"/>
        </w:rPr>
      </w:pPr>
      <w:r>
        <w:rPr>
          <w:rFonts w:hint="eastAsia" w:ascii="楷体" w:hAnsi="楷体" w:eastAsia="楷体" w:cs="楷体"/>
          <w:b w:val="0"/>
          <w:bCs w:val="0"/>
          <w:color w:val="000000"/>
          <w:sz w:val="32"/>
          <w:szCs w:val="32"/>
        </w:rPr>
        <w:t>（一）鼓励集中购买办公用房</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hAnsi="仿宋" w:eastAsia="仿宋_GB2312"/>
          <w:b w:val="0"/>
          <w:bCs w:val="0"/>
          <w:color w:val="000000"/>
          <w:sz w:val="32"/>
          <w:szCs w:val="32"/>
        </w:rPr>
      </w:pPr>
      <w:r>
        <w:rPr>
          <w:rFonts w:hint="eastAsia" w:ascii="仿宋_GB2312" w:hAnsi="仿宋" w:eastAsia="仿宋_GB2312"/>
          <w:b w:val="0"/>
          <w:bCs w:val="0"/>
          <w:color w:val="000000"/>
          <w:sz w:val="32"/>
          <w:szCs w:val="32"/>
        </w:rPr>
        <w:t>企业注册地在本区，在本区购买办公用房的，按照</w:t>
      </w:r>
      <w:r>
        <w:rPr>
          <w:rFonts w:ascii="仿宋_GB2312" w:hAnsi="仿宋" w:eastAsia="仿宋_GB2312"/>
          <w:b w:val="0"/>
          <w:bCs w:val="0"/>
          <w:color w:val="000000"/>
          <w:sz w:val="32"/>
          <w:szCs w:val="32"/>
        </w:rPr>
        <w:t>2000</w:t>
      </w:r>
      <w:r>
        <w:rPr>
          <w:rFonts w:hint="eastAsia" w:ascii="仿宋_GB2312" w:hAnsi="仿宋" w:eastAsia="仿宋_GB2312"/>
          <w:b w:val="0"/>
          <w:bCs w:val="0"/>
          <w:color w:val="000000"/>
          <w:sz w:val="32"/>
          <w:szCs w:val="32"/>
        </w:rPr>
        <w:t>元∕平方米标准给予购房补助，本区特级总承包企业可以享受补助面积不超过</w:t>
      </w:r>
      <w:r>
        <w:rPr>
          <w:rFonts w:ascii="仿宋_GB2312" w:hAnsi="仿宋" w:eastAsia="仿宋_GB2312"/>
          <w:b w:val="0"/>
          <w:bCs w:val="0"/>
          <w:color w:val="000000"/>
          <w:sz w:val="32"/>
          <w:szCs w:val="32"/>
        </w:rPr>
        <w:t>2000</w:t>
      </w:r>
      <w:r>
        <w:rPr>
          <w:rFonts w:hint="eastAsia" w:ascii="仿宋_GB2312" w:hAnsi="仿宋" w:eastAsia="仿宋_GB2312"/>
          <w:b w:val="0"/>
          <w:bCs w:val="0"/>
          <w:color w:val="000000"/>
          <w:sz w:val="32"/>
          <w:szCs w:val="32"/>
        </w:rPr>
        <w:t>平方米，一级总承包企业可以享受补助面积不超过</w:t>
      </w:r>
      <w:r>
        <w:rPr>
          <w:rFonts w:ascii="仿宋_GB2312" w:hAnsi="仿宋" w:eastAsia="仿宋_GB2312"/>
          <w:b w:val="0"/>
          <w:bCs w:val="0"/>
          <w:color w:val="000000"/>
          <w:sz w:val="32"/>
          <w:szCs w:val="32"/>
        </w:rPr>
        <w:t>1000</w:t>
      </w:r>
      <w:r>
        <w:rPr>
          <w:rFonts w:hint="eastAsia" w:ascii="仿宋_GB2312" w:hAnsi="仿宋" w:eastAsia="仿宋_GB2312"/>
          <w:b w:val="0"/>
          <w:bCs w:val="0"/>
          <w:color w:val="000000"/>
          <w:sz w:val="32"/>
          <w:szCs w:val="32"/>
        </w:rPr>
        <w:t>平方米，二级总承包企业可以享受补助面积不超过</w:t>
      </w:r>
      <w:r>
        <w:rPr>
          <w:rFonts w:ascii="仿宋_GB2312" w:hAnsi="仿宋" w:eastAsia="仿宋_GB2312"/>
          <w:b w:val="0"/>
          <w:bCs w:val="0"/>
          <w:color w:val="000000"/>
          <w:sz w:val="32"/>
          <w:szCs w:val="32"/>
        </w:rPr>
        <w:t>500</w:t>
      </w:r>
      <w:r>
        <w:rPr>
          <w:rFonts w:hint="eastAsia" w:ascii="仿宋_GB2312" w:hAnsi="仿宋" w:eastAsia="仿宋_GB2312"/>
          <w:b w:val="0"/>
          <w:bCs w:val="0"/>
          <w:color w:val="000000"/>
          <w:sz w:val="32"/>
          <w:szCs w:val="32"/>
        </w:rPr>
        <w:t>平方米。鼓励本区的建筑企业集中购买办公用房，房地产企业要给予适当优惠，购买办公用房的企业，不可转租或出售，仅限企业办公自用。</w:t>
      </w:r>
    </w:p>
    <w:p>
      <w:pPr>
        <w:widowControl w:val="0"/>
        <w:wordWrap/>
        <w:adjustRightInd w:val="0"/>
        <w:snapToGrid w:val="0"/>
        <w:spacing w:before="0" w:after="0" w:line="336" w:lineRule="auto"/>
        <w:ind w:left="0" w:leftChars="0" w:right="0" w:firstLine="640" w:firstLineChars="200"/>
        <w:jc w:val="both"/>
        <w:textAlignment w:val="auto"/>
        <w:outlineLvl w:val="9"/>
        <w:rPr>
          <w:rFonts w:ascii="楷体" w:hAnsi="楷体" w:eastAsia="楷体" w:cs="楷体"/>
          <w:b w:val="0"/>
          <w:bCs w:val="0"/>
          <w:color w:val="000000"/>
          <w:sz w:val="32"/>
          <w:szCs w:val="32"/>
        </w:rPr>
      </w:pPr>
      <w:r>
        <w:rPr>
          <w:rFonts w:hint="eastAsia" w:ascii="楷体" w:hAnsi="楷体" w:eastAsia="楷体" w:cs="楷体"/>
          <w:b w:val="0"/>
          <w:bCs w:val="0"/>
          <w:color w:val="000000"/>
          <w:sz w:val="32"/>
          <w:szCs w:val="32"/>
        </w:rPr>
        <w:t>（二）实行办公用房租赁补助</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hAnsi="仿宋" w:eastAsia="仿宋_GB2312"/>
          <w:b w:val="0"/>
          <w:bCs w:val="0"/>
          <w:color w:val="000000"/>
          <w:sz w:val="32"/>
          <w:szCs w:val="32"/>
        </w:rPr>
      </w:pPr>
      <w:r>
        <w:rPr>
          <w:rFonts w:hint="eastAsia" w:ascii="仿宋_GB2312" w:hAnsi="仿宋" w:eastAsia="仿宋_GB2312"/>
          <w:b w:val="0"/>
          <w:bCs w:val="0"/>
          <w:color w:val="000000"/>
          <w:sz w:val="32"/>
          <w:szCs w:val="32"/>
        </w:rPr>
        <w:t>本区特级、一级、二级施工总承包企业可以享受办公用房租赁补助政策。租赁办公用房的，按照每月</w:t>
      </w:r>
      <w:r>
        <w:rPr>
          <w:rFonts w:ascii="仿宋_GB2312" w:hAnsi="仿宋" w:eastAsia="仿宋_GB2312"/>
          <w:b w:val="0"/>
          <w:bCs w:val="0"/>
          <w:color w:val="000000"/>
          <w:sz w:val="32"/>
          <w:szCs w:val="32"/>
        </w:rPr>
        <w:t>20</w:t>
      </w:r>
      <w:r>
        <w:rPr>
          <w:rFonts w:hint="eastAsia" w:ascii="仿宋_GB2312" w:hAnsi="仿宋" w:eastAsia="仿宋_GB2312"/>
          <w:b w:val="0"/>
          <w:bCs w:val="0"/>
          <w:color w:val="000000"/>
          <w:sz w:val="32"/>
          <w:szCs w:val="32"/>
        </w:rPr>
        <w:t>元</w:t>
      </w:r>
      <w:r>
        <w:rPr>
          <w:rFonts w:hint="eastAsia" w:ascii="仿宋_GB2312" w:hAnsi="仿宋" w:eastAsia="仿宋"/>
          <w:b w:val="0"/>
          <w:bCs w:val="0"/>
          <w:color w:val="000000"/>
          <w:sz w:val="32"/>
          <w:szCs w:val="32"/>
        </w:rPr>
        <w:t>∕</w:t>
      </w:r>
      <w:r>
        <w:rPr>
          <w:rFonts w:hint="eastAsia" w:ascii="仿宋_GB2312" w:hAnsi="仿宋" w:eastAsia="仿宋_GB2312"/>
          <w:b w:val="0"/>
          <w:bCs w:val="0"/>
          <w:color w:val="000000"/>
          <w:sz w:val="32"/>
          <w:szCs w:val="32"/>
        </w:rPr>
        <w:t>平方米标准给予租房补助，补助面积特级总承包企业不超过</w:t>
      </w:r>
      <w:r>
        <w:rPr>
          <w:rFonts w:ascii="仿宋_GB2312" w:hAnsi="仿宋" w:eastAsia="仿宋_GB2312"/>
          <w:b w:val="0"/>
          <w:bCs w:val="0"/>
          <w:color w:val="000000"/>
          <w:sz w:val="32"/>
          <w:szCs w:val="32"/>
        </w:rPr>
        <w:t>2000</w:t>
      </w:r>
      <w:r>
        <w:rPr>
          <w:rFonts w:hint="eastAsia" w:ascii="仿宋_GB2312" w:hAnsi="仿宋" w:eastAsia="仿宋_GB2312"/>
          <w:b w:val="0"/>
          <w:bCs w:val="0"/>
          <w:color w:val="000000"/>
          <w:sz w:val="32"/>
          <w:szCs w:val="32"/>
        </w:rPr>
        <w:t>平方米，一级总承包企业不超过</w:t>
      </w:r>
      <w:r>
        <w:rPr>
          <w:rFonts w:ascii="仿宋_GB2312" w:hAnsi="仿宋" w:eastAsia="仿宋_GB2312"/>
          <w:b w:val="0"/>
          <w:bCs w:val="0"/>
          <w:color w:val="000000"/>
          <w:sz w:val="32"/>
          <w:szCs w:val="32"/>
        </w:rPr>
        <w:t>1000</w:t>
      </w:r>
      <w:r>
        <w:rPr>
          <w:rFonts w:hint="eastAsia" w:ascii="仿宋_GB2312" w:hAnsi="仿宋" w:eastAsia="仿宋_GB2312"/>
          <w:b w:val="0"/>
          <w:bCs w:val="0"/>
          <w:color w:val="000000"/>
          <w:sz w:val="32"/>
          <w:szCs w:val="32"/>
        </w:rPr>
        <w:t>平方米，二级施工总承包企业不超过</w:t>
      </w:r>
      <w:r>
        <w:rPr>
          <w:rFonts w:ascii="仿宋_GB2312" w:hAnsi="仿宋" w:eastAsia="仿宋_GB2312"/>
          <w:b w:val="0"/>
          <w:bCs w:val="0"/>
          <w:color w:val="000000"/>
          <w:sz w:val="32"/>
          <w:szCs w:val="32"/>
        </w:rPr>
        <w:t>500</w:t>
      </w:r>
      <w:r>
        <w:rPr>
          <w:rFonts w:hint="eastAsia" w:ascii="仿宋_GB2312" w:hAnsi="仿宋" w:eastAsia="仿宋_GB2312"/>
          <w:b w:val="0"/>
          <w:bCs w:val="0"/>
          <w:color w:val="000000"/>
          <w:sz w:val="32"/>
          <w:szCs w:val="32"/>
        </w:rPr>
        <w:t>平方米，补助期限为</w:t>
      </w:r>
      <w:r>
        <w:rPr>
          <w:rFonts w:ascii="仿宋_GB2312" w:hAnsi="仿宋" w:eastAsia="仿宋_GB2312"/>
          <w:b w:val="0"/>
          <w:bCs w:val="0"/>
          <w:color w:val="000000"/>
          <w:sz w:val="32"/>
          <w:szCs w:val="32"/>
        </w:rPr>
        <w:t>3</w:t>
      </w:r>
      <w:r>
        <w:rPr>
          <w:rFonts w:hint="eastAsia" w:ascii="仿宋_GB2312" w:hAnsi="仿宋" w:eastAsia="仿宋_GB2312"/>
          <w:b w:val="0"/>
          <w:bCs w:val="0"/>
          <w:color w:val="000000"/>
          <w:sz w:val="32"/>
          <w:szCs w:val="32"/>
        </w:rPr>
        <w:t>年；企业已申请购买办公用房补助的不得重复申请享受租赁补助。租赁办公用房的企业，不可转租，仅限企业办公自用。</w:t>
      </w:r>
    </w:p>
    <w:p>
      <w:pPr>
        <w:widowControl w:val="0"/>
        <w:wordWrap/>
        <w:adjustRightInd w:val="0"/>
        <w:snapToGrid w:val="0"/>
        <w:spacing w:before="0" w:after="0" w:line="336" w:lineRule="auto"/>
        <w:ind w:left="0" w:leftChars="0" w:right="0" w:firstLine="640" w:firstLineChars="200"/>
        <w:jc w:val="both"/>
        <w:textAlignment w:val="auto"/>
        <w:outlineLvl w:val="9"/>
        <w:rPr>
          <w:rFonts w:ascii="黑体" w:hAnsi="黑体" w:eastAsia="黑体" w:cs="黑体"/>
          <w:b w:val="0"/>
          <w:bCs w:val="0"/>
          <w:color w:val="000000"/>
          <w:sz w:val="32"/>
          <w:szCs w:val="32"/>
        </w:rPr>
      </w:pPr>
      <w:r>
        <w:rPr>
          <w:rFonts w:hint="eastAsia" w:ascii="黑体" w:hAnsi="黑体" w:eastAsia="黑体" w:cs="黑体"/>
          <w:b w:val="0"/>
          <w:bCs w:val="0"/>
          <w:color w:val="000000"/>
          <w:sz w:val="32"/>
          <w:szCs w:val="32"/>
        </w:rPr>
        <w:t>三、积极引进区外企业</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hAnsi="仿宋" w:eastAsia="仿宋_GB2312"/>
          <w:b w:val="0"/>
          <w:bCs w:val="0"/>
          <w:color w:val="000000"/>
          <w:sz w:val="32"/>
          <w:szCs w:val="32"/>
        </w:rPr>
      </w:pPr>
      <w:r>
        <w:rPr>
          <w:rFonts w:hint="eastAsia" w:ascii="仿宋_GB2312" w:hAnsi="仿宋" w:eastAsia="仿宋_GB2312"/>
          <w:b w:val="0"/>
          <w:bCs w:val="0"/>
          <w:color w:val="000000"/>
          <w:sz w:val="32"/>
          <w:szCs w:val="32"/>
        </w:rPr>
        <w:t>鼓励建筑企业将注册地迁入本区，积极引进施工总承包特级、一级和二级资质企业，重点引进具有公路、铁路、港航、水利、电力工程施工总承包和桥梁、隧道工程专业承包一级资质的央企全资或控股企业及上市企业。引进企业注册本区并书面承诺</w:t>
      </w:r>
      <w:r>
        <w:rPr>
          <w:rFonts w:ascii="仿宋_GB2312" w:hAnsi="仿宋" w:eastAsia="仿宋_GB2312"/>
          <w:b w:val="0"/>
          <w:bCs w:val="0"/>
          <w:color w:val="000000"/>
          <w:sz w:val="32"/>
          <w:szCs w:val="32"/>
        </w:rPr>
        <w:t>10</w:t>
      </w:r>
      <w:r>
        <w:rPr>
          <w:rFonts w:hint="eastAsia" w:ascii="仿宋_GB2312" w:hAnsi="仿宋" w:eastAsia="仿宋_GB2312"/>
          <w:b w:val="0"/>
          <w:bCs w:val="0"/>
          <w:color w:val="000000"/>
          <w:sz w:val="32"/>
          <w:szCs w:val="32"/>
        </w:rPr>
        <w:t>年内不离开本区的，可以享受以下优惠政策：</w:t>
      </w:r>
    </w:p>
    <w:p>
      <w:pPr>
        <w:widowControl w:val="0"/>
        <w:wordWrap/>
        <w:adjustRightInd w:val="0"/>
        <w:snapToGrid w:val="0"/>
        <w:spacing w:before="0" w:after="0" w:line="336" w:lineRule="auto"/>
        <w:ind w:left="0" w:leftChars="0" w:right="0" w:firstLine="640" w:firstLineChars="200"/>
        <w:jc w:val="both"/>
        <w:textAlignment w:val="auto"/>
        <w:outlineLvl w:val="9"/>
        <w:rPr>
          <w:rFonts w:ascii="楷体" w:hAnsi="楷体" w:eastAsia="楷体" w:cs="楷体"/>
          <w:b w:val="0"/>
          <w:bCs w:val="0"/>
          <w:color w:val="000000"/>
          <w:sz w:val="32"/>
          <w:szCs w:val="32"/>
        </w:rPr>
      </w:pPr>
      <w:r>
        <w:rPr>
          <w:rFonts w:hint="eastAsia" w:ascii="楷体" w:hAnsi="楷体" w:eastAsia="楷体" w:cs="楷体"/>
          <w:b w:val="0"/>
          <w:bCs w:val="0"/>
          <w:color w:val="000000"/>
          <w:sz w:val="32"/>
          <w:szCs w:val="32"/>
        </w:rPr>
        <w:t>（一）企业搬迁奖励</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 w:eastAsia="仿宋_GB2312"/>
          <w:b w:val="0"/>
          <w:bCs w:val="0"/>
          <w:sz w:val="32"/>
          <w:szCs w:val="32"/>
        </w:rPr>
      </w:pPr>
      <w:r>
        <w:rPr>
          <w:rFonts w:hint="eastAsia" w:ascii="仿宋_GB2312" w:hAnsi="仿宋" w:eastAsia="仿宋_GB2312"/>
          <w:b w:val="0"/>
          <w:bCs w:val="0"/>
          <w:color w:val="000000"/>
          <w:sz w:val="32"/>
          <w:szCs w:val="32"/>
        </w:rPr>
        <w:t>新引进的施工总承包特级、一级和二级资质企业和桥梁、隧道工程专业承包一级资质企业，将注册地迁入本区，按照本区建筑企业晋升特级、一级和二级总承包资质予以奖励</w:t>
      </w:r>
      <w:r>
        <w:rPr>
          <w:rFonts w:hint="eastAsia" w:ascii="仿宋_GB2312" w:hAnsi="仿宋" w:eastAsia="仿宋_GB2312"/>
          <w:b w:val="0"/>
          <w:bCs w:val="0"/>
          <w:sz w:val="32"/>
          <w:szCs w:val="32"/>
        </w:rPr>
        <w:t>；给予总承包特级、一级资质企业和桥梁、隧道工程专业承包一级资质企业搬迁补助费</w:t>
      </w:r>
      <w:r>
        <w:rPr>
          <w:rFonts w:ascii="仿宋_GB2312" w:hAnsi="仿宋" w:eastAsia="仿宋_GB2312"/>
          <w:b w:val="0"/>
          <w:bCs w:val="0"/>
          <w:sz w:val="32"/>
          <w:szCs w:val="32"/>
        </w:rPr>
        <w:t>100</w:t>
      </w:r>
      <w:r>
        <w:rPr>
          <w:rFonts w:hint="eastAsia" w:ascii="仿宋_GB2312" w:hAnsi="仿宋" w:eastAsia="仿宋_GB2312"/>
          <w:b w:val="0"/>
          <w:bCs w:val="0"/>
          <w:sz w:val="32"/>
          <w:szCs w:val="32"/>
        </w:rPr>
        <w:t>万元，二级资质企业搬迁补助费</w:t>
      </w:r>
      <w:r>
        <w:rPr>
          <w:rFonts w:ascii="仿宋_GB2312" w:hAnsi="仿宋" w:eastAsia="仿宋_GB2312"/>
          <w:b w:val="0"/>
          <w:bCs w:val="0"/>
          <w:sz w:val="32"/>
          <w:szCs w:val="32"/>
        </w:rPr>
        <w:t>15</w:t>
      </w:r>
      <w:r>
        <w:rPr>
          <w:rFonts w:hint="eastAsia" w:ascii="仿宋_GB2312" w:hAnsi="仿宋" w:eastAsia="仿宋_GB2312"/>
          <w:b w:val="0"/>
          <w:bCs w:val="0"/>
          <w:sz w:val="32"/>
          <w:szCs w:val="32"/>
        </w:rPr>
        <w:t>万元；给予企业办公装修补助，补助</w:t>
      </w:r>
      <w:r>
        <w:rPr>
          <w:rFonts w:hint="eastAsia" w:ascii="仿宋_GB2312" w:hAnsi="仿宋" w:eastAsia="仿宋_GB2312"/>
          <w:b w:val="0"/>
          <w:bCs w:val="0"/>
          <w:color w:val="000000"/>
          <w:sz w:val="32"/>
          <w:szCs w:val="32"/>
        </w:rPr>
        <w:t>金额为</w:t>
      </w:r>
      <w:r>
        <w:rPr>
          <w:rFonts w:ascii="仿宋_GB2312" w:hAnsi="仿宋" w:eastAsia="仿宋_GB2312"/>
          <w:b w:val="0"/>
          <w:bCs w:val="0"/>
          <w:color w:val="000000"/>
          <w:sz w:val="32"/>
          <w:szCs w:val="32"/>
        </w:rPr>
        <w:t>500</w:t>
      </w:r>
      <w:r>
        <w:rPr>
          <w:rFonts w:hint="eastAsia" w:ascii="仿宋_GB2312" w:hAnsi="仿宋" w:eastAsia="仿宋_GB2312"/>
          <w:b w:val="0"/>
          <w:bCs w:val="0"/>
          <w:color w:val="000000"/>
          <w:sz w:val="32"/>
          <w:szCs w:val="32"/>
        </w:rPr>
        <w:t>元</w:t>
      </w:r>
      <w:r>
        <w:rPr>
          <w:rFonts w:ascii="仿宋_GB2312" w:hAnsi="仿宋" w:eastAsia="仿宋_GB2312"/>
          <w:b w:val="0"/>
          <w:bCs w:val="0"/>
          <w:color w:val="000000"/>
          <w:sz w:val="32"/>
          <w:szCs w:val="32"/>
        </w:rPr>
        <w:t>/</w:t>
      </w:r>
      <w:r>
        <w:rPr>
          <w:rFonts w:hint="eastAsia" w:ascii="仿宋_GB2312" w:hAnsi="仿宋" w:eastAsia="仿宋_GB2312"/>
          <w:b w:val="0"/>
          <w:bCs w:val="0"/>
          <w:color w:val="000000"/>
          <w:sz w:val="32"/>
          <w:szCs w:val="32"/>
        </w:rPr>
        <w:t>平方</w:t>
      </w:r>
      <w:r>
        <w:rPr>
          <w:rFonts w:hint="eastAsia" w:ascii="仿宋_GB2312" w:hAnsi="仿宋" w:eastAsia="仿宋_GB2312"/>
          <w:b w:val="0"/>
          <w:bCs w:val="0"/>
          <w:sz w:val="32"/>
          <w:szCs w:val="32"/>
        </w:rPr>
        <w:t>米，补助面积特级总承包企业不超过2000平方米，一级总承包企业和专业承包一级企业不超过1000平方米，二级总承包企业不超过500平方米。</w:t>
      </w:r>
    </w:p>
    <w:p>
      <w:pPr>
        <w:widowControl w:val="0"/>
        <w:wordWrap/>
        <w:adjustRightInd w:val="0"/>
        <w:snapToGrid w:val="0"/>
        <w:spacing w:before="0" w:after="0" w:line="336" w:lineRule="auto"/>
        <w:ind w:left="0" w:leftChars="0" w:right="0" w:firstLine="640" w:firstLineChars="200"/>
        <w:jc w:val="both"/>
        <w:textAlignment w:val="auto"/>
        <w:outlineLvl w:val="9"/>
        <w:rPr>
          <w:rFonts w:ascii="楷体" w:hAnsi="楷体" w:eastAsia="楷体" w:cs="楷体"/>
          <w:b w:val="0"/>
          <w:bCs w:val="0"/>
          <w:color w:val="000000"/>
          <w:sz w:val="32"/>
          <w:szCs w:val="32"/>
        </w:rPr>
      </w:pPr>
      <w:r>
        <w:rPr>
          <w:rFonts w:hint="eastAsia" w:ascii="楷体" w:hAnsi="楷体" w:eastAsia="楷体" w:cs="楷体"/>
          <w:b w:val="0"/>
          <w:bCs w:val="0"/>
          <w:color w:val="000000"/>
          <w:sz w:val="32"/>
          <w:szCs w:val="32"/>
        </w:rPr>
        <w:t>（二）购买办公用房补助</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hAnsi="仿宋" w:eastAsia="仿宋_GB2312"/>
          <w:b w:val="0"/>
          <w:bCs w:val="0"/>
          <w:color w:val="000000"/>
          <w:sz w:val="32"/>
          <w:szCs w:val="32"/>
        </w:rPr>
      </w:pPr>
      <w:r>
        <w:rPr>
          <w:rFonts w:hint="eastAsia" w:ascii="仿宋_GB2312" w:hAnsi="仿宋" w:eastAsia="仿宋_GB2312"/>
          <w:b w:val="0"/>
          <w:bCs w:val="0"/>
          <w:color w:val="000000"/>
          <w:sz w:val="32"/>
          <w:szCs w:val="32"/>
        </w:rPr>
        <w:t>当年度在本区产生税收的新引进企业，按已开具发票的造价年度总额达到</w:t>
      </w:r>
      <w:r>
        <w:rPr>
          <w:rFonts w:ascii="仿宋_GB2312" w:hAnsi="仿宋" w:eastAsia="仿宋_GB2312"/>
          <w:b w:val="0"/>
          <w:bCs w:val="0"/>
          <w:color w:val="000000"/>
          <w:sz w:val="32"/>
          <w:szCs w:val="32"/>
        </w:rPr>
        <w:t>10</w:t>
      </w:r>
      <w:r>
        <w:rPr>
          <w:rFonts w:hint="eastAsia" w:ascii="仿宋_GB2312" w:hAnsi="仿宋" w:eastAsia="仿宋_GB2312"/>
          <w:b w:val="0"/>
          <w:bCs w:val="0"/>
          <w:color w:val="000000"/>
          <w:sz w:val="32"/>
          <w:szCs w:val="32"/>
        </w:rPr>
        <w:t>亿元及以上的，在本区购买自用办公用房的，按</w:t>
      </w:r>
      <w:r>
        <w:rPr>
          <w:rFonts w:ascii="仿宋_GB2312" w:hAnsi="仿宋" w:eastAsia="仿宋_GB2312"/>
          <w:b w:val="0"/>
          <w:bCs w:val="0"/>
          <w:color w:val="000000"/>
          <w:sz w:val="32"/>
          <w:szCs w:val="32"/>
        </w:rPr>
        <w:t>2000</w:t>
      </w:r>
      <w:r>
        <w:rPr>
          <w:rFonts w:hint="eastAsia" w:ascii="仿宋_GB2312" w:hAnsi="仿宋" w:eastAsia="仿宋_GB2312"/>
          <w:b w:val="0"/>
          <w:bCs w:val="0"/>
          <w:color w:val="000000"/>
          <w:sz w:val="32"/>
          <w:szCs w:val="32"/>
        </w:rPr>
        <w:t>元∕平方米给予补助，补助面积特级总承包企业不超过</w:t>
      </w:r>
      <w:r>
        <w:rPr>
          <w:rFonts w:ascii="仿宋_GB2312" w:hAnsi="仿宋" w:eastAsia="仿宋_GB2312"/>
          <w:b w:val="0"/>
          <w:bCs w:val="0"/>
          <w:color w:val="000000"/>
          <w:sz w:val="32"/>
          <w:szCs w:val="32"/>
        </w:rPr>
        <w:t>2000</w:t>
      </w:r>
      <w:r>
        <w:rPr>
          <w:rFonts w:hint="eastAsia" w:ascii="仿宋_GB2312" w:hAnsi="仿宋" w:eastAsia="仿宋_GB2312"/>
          <w:b w:val="0"/>
          <w:bCs w:val="0"/>
          <w:color w:val="000000"/>
          <w:sz w:val="32"/>
          <w:szCs w:val="32"/>
        </w:rPr>
        <w:t>平方米，一级总承包</w:t>
      </w:r>
      <w:r>
        <w:rPr>
          <w:rFonts w:hint="eastAsia" w:ascii="仿宋_GB2312" w:hAnsi="仿宋" w:eastAsia="仿宋_GB2312"/>
          <w:b w:val="0"/>
          <w:bCs w:val="0"/>
          <w:sz w:val="32"/>
          <w:szCs w:val="32"/>
        </w:rPr>
        <w:t>和桥梁、隧道工程专业承包一级企业</w:t>
      </w:r>
      <w:r>
        <w:rPr>
          <w:rFonts w:hint="eastAsia" w:ascii="仿宋_GB2312" w:hAnsi="仿宋" w:eastAsia="仿宋_GB2312"/>
          <w:b w:val="0"/>
          <w:bCs w:val="0"/>
          <w:color w:val="000000"/>
          <w:sz w:val="32"/>
          <w:szCs w:val="32"/>
        </w:rPr>
        <w:t>不超过</w:t>
      </w:r>
      <w:r>
        <w:rPr>
          <w:rFonts w:ascii="仿宋_GB2312" w:hAnsi="仿宋" w:eastAsia="仿宋_GB2312"/>
          <w:b w:val="0"/>
          <w:bCs w:val="0"/>
          <w:color w:val="000000"/>
          <w:sz w:val="32"/>
          <w:szCs w:val="32"/>
        </w:rPr>
        <w:t>1000</w:t>
      </w:r>
      <w:r>
        <w:rPr>
          <w:rFonts w:hint="eastAsia" w:ascii="仿宋_GB2312" w:hAnsi="仿宋" w:eastAsia="仿宋_GB2312"/>
          <w:b w:val="0"/>
          <w:bCs w:val="0"/>
          <w:color w:val="000000"/>
          <w:sz w:val="32"/>
          <w:szCs w:val="32"/>
        </w:rPr>
        <w:t>平方米，二级总承包企业不超过</w:t>
      </w:r>
      <w:r>
        <w:rPr>
          <w:rFonts w:ascii="仿宋_GB2312" w:hAnsi="仿宋" w:eastAsia="仿宋_GB2312"/>
          <w:b w:val="0"/>
          <w:bCs w:val="0"/>
          <w:color w:val="000000"/>
          <w:sz w:val="32"/>
          <w:szCs w:val="32"/>
        </w:rPr>
        <w:t>500</w:t>
      </w:r>
      <w:r>
        <w:rPr>
          <w:rFonts w:hint="eastAsia" w:ascii="仿宋_GB2312" w:hAnsi="仿宋" w:eastAsia="仿宋_GB2312"/>
          <w:b w:val="0"/>
          <w:bCs w:val="0"/>
          <w:color w:val="000000"/>
          <w:sz w:val="32"/>
          <w:szCs w:val="32"/>
        </w:rPr>
        <w:t>平方米。购买办公用房的企业，不可转租或出售，仅限企业办公自用。</w:t>
      </w:r>
    </w:p>
    <w:p>
      <w:pPr>
        <w:widowControl w:val="0"/>
        <w:wordWrap/>
        <w:adjustRightInd w:val="0"/>
        <w:snapToGrid w:val="0"/>
        <w:spacing w:before="0" w:after="0" w:line="336" w:lineRule="auto"/>
        <w:ind w:left="0" w:leftChars="0" w:right="0" w:firstLine="640" w:firstLineChars="200"/>
        <w:jc w:val="both"/>
        <w:textAlignment w:val="auto"/>
        <w:outlineLvl w:val="9"/>
        <w:rPr>
          <w:rFonts w:ascii="楷体" w:hAnsi="楷体" w:eastAsia="楷体" w:cs="楷体"/>
          <w:b w:val="0"/>
          <w:bCs w:val="0"/>
          <w:color w:val="000000"/>
          <w:sz w:val="32"/>
          <w:szCs w:val="32"/>
        </w:rPr>
      </w:pPr>
      <w:r>
        <w:rPr>
          <w:rFonts w:hint="eastAsia" w:ascii="楷体" w:hAnsi="楷体" w:eastAsia="楷体" w:cs="楷体"/>
          <w:b w:val="0"/>
          <w:bCs w:val="0"/>
          <w:color w:val="000000"/>
          <w:sz w:val="32"/>
          <w:szCs w:val="32"/>
        </w:rPr>
        <w:t>（三）办公用房租赁补助</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hAnsi="仿宋" w:eastAsia="仿宋_GB2312"/>
          <w:b w:val="0"/>
          <w:bCs w:val="0"/>
          <w:color w:val="000000"/>
          <w:sz w:val="32"/>
          <w:szCs w:val="32"/>
        </w:rPr>
      </w:pPr>
      <w:r>
        <w:rPr>
          <w:rFonts w:hint="eastAsia" w:ascii="仿宋_GB2312" w:hAnsi="仿宋" w:eastAsia="仿宋_GB2312"/>
          <w:b w:val="0"/>
          <w:bCs w:val="0"/>
          <w:color w:val="000000"/>
          <w:sz w:val="32"/>
          <w:szCs w:val="32"/>
        </w:rPr>
        <w:t>当年度在本区产生税收的新引进企业，按已开具发票的造价年度总额达到</w:t>
      </w:r>
      <w:r>
        <w:rPr>
          <w:rFonts w:ascii="仿宋_GB2312" w:hAnsi="仿宋" w:eastAsia="仿宋_GB2312"/>
          <w:b w:val="0"/>
          <w:bCs w:val="0"/>
          <w:color w:val="000000"/>
          <w:sz w:val="32"/>
          <w:szCs w:val="32"/>
        </w:rPr>
        <w:t>10</w:t>
      </w:r>
      <w:r>
        <w:rPr>
          <w:rFonts w:hint="eastAsia" w:ascii="仿宋_GB2312" w:hAnsi="仿宋" w:eastAsia="仿宋_GB2312"/>
          <w:b w:val="0"/>
          <w:bCs w:val="0"/>
          <w:color w:val="000000"/>
          <w:sz w:val="32"/>
          <w:szCs w:val="32"/>
        </w:rPr>
        <w:t>亿元及以上的，在本区租用办公用房的，按照每月</w:t>
      </w:r>
      <w:r>
        <w:rPr>
          <w:rFonts w:ascii="仿宋_GB2312" w:hAnsi="仿宋" w:eastAsia="仿宋_GB2312"/>
          <w:b w:val="0"/>
          <w:bCs w:val="0"/>
          <w:color w:val="000000"/>
          <w:sz w:val="32"/>
          <w:szCs w:val="32"/>
        </w:rPr>
        <w:t>20</w:t>
      </w:r>
      <w:r>
        <w:rPr>
          <w:rFonts w:hint="eastAsia" w:ascii="仿宋_GB2312" w:hAnsi="仿宋" w:eastAsia="仿宋_GB2312"/>
          <w:b w:val="0"/>
          <w:bCs w:val="0"/>
          <w:color w:val="000000"/>
          <w:sz w:val="32"/>
          <w:szCs w:val="32"/>
        </w:rPr>
        <w:t>元</w:t>
      </w:r>
      <w:r>
        <w:rPr>
          <w:rFonts w:hint="eastAsia" w:ascii="仿宋_GB2312" w:hAnsi="仿宋" w:eastAsia="仿宋"/>
          <w:b w:val="0"/>
          <w:bCs w:val="0"/>
          <w:color w:val="000000"/>
          <w:sz w:val="32"/>
          <w:szCs w:val="32"/>
        </w:rPr>
        <w:t>∕</w:t>
      </w:r>
      <w:r>
        <w:rPr>
          <w:rFonts w:hint="eastAsia" w:ascii="仿宋_GB2312" w:hAnsi="仿宋" w:eastAsia="仿宋_GB2312"/>
          <w:b w:val="0"/>
          <w:bCs w:val="0"/>
          <w:color w:val="000000"/>
          <w:sz w:val="32"/>
          <w:szCs w:val="32"/>
        </w:rPr>
        <w:t>平方米的标准给予租房补助，补助期限</w:t>
      </w:r>
      <w:r>
        <w:rPr>
          <w:rFonts w:ascii="仿宋_GB2312" w:hAnsi="仿宋" w:eastAsia="仿宋_GB2312"/>
          <w:b w:val="0"/>
          <w:bCs w:val="0"/>
          <w:color w:val="000000"/>
          <w:sz w:val="32"/>
          <w:szCs w:val="32"/>
        </w:rPr>
        <w:t>2</w:t>
      </w:r>
      <w:r>
        <w:rPr>
          <w:rFonts w:hint="eastAsia" w:ascii="仿宋_GB2312" w:hAnsi="仿宋" w:eastAsia="仿宋_GB2312"/>
          <w:b w:val="0"/>
          <w:bCs w:val="0"/>
          <w:color w:val="000000"/>
          <w:sz w:val="32"/>
          <w:szCs w:val="32"/>
        </w:rPr>
        <w:t>年，补助面积特级总承包企业不超过</w:t>
      </w:r>
      <w:r>
        <w:rPr>
          <w:rFonts w:ascii="仿宋_GB2312" w:hAnsi="仿宋" w:eastAsia="仿宋_GB2312"/>
          <w:b w:val="0"/>
          <w:bCs w:val="0"/>
          <w:color w:val="000000"/>
          <w:sz w:val="32"/>
          <w:szCs w:val="32"/>
        </w:rPr>
        <w:t>2000</w:t>
      </w:r>
      <w:r>
        <w:rPr>
          <w:rFonts w:hint="eastAsia" w:ascii="仿宋_GB2312" w:hAnsi="仿宋" w:eastAsia="仿宋_GB2312"/>
          <w:b w:val="0"/>
          <w:bCs w:val="0"/>
          <w:color w:val="000000"/>
          <w:sz w:val="32"/>
          <w:szCs w:val="32"/>
        </w:rPr>
        <w:t>平方米，一级总承包</w:t>
      </w:r>
      <w:r>
        <w:rPr>
          <w:rFonts w:hint="eastAsia" w:ascii="仿宋_GB2312" w:hAnsi="仿宋" w:eastAsia="仿宋_GB2312"/>
          <w:b w:val="0"/>
          <w:bCs w:val="0"/>
          <w:sz w:val="32"/>
          <w:szCs w:val="32"/>
        </w:rPr>
        <w:t>和桥梁、隧道工程专业承包一级企业</w:t>
      </w:r>
      <w:r>
        <w:rPr>
          <w:rFonts w:hint="eastAsia" w:ascii="仿宋_GB2312" w:hAnsi="仿宋" w:eastAsia="仿宋_GB2312"/>
          <w:b w:val="0"/>
          <w:bCs w:val="0"/>
          <w:color w:val="000000"/>
          <w:sz w:val="32"/>
          <w:szCs w:val="32"/>
        </w:rPr>
        <w:t>不超过</w:t>
      </w:r>
      <w:r>
        <w:rPr>
          <w:rFonts w:ascii="仿宋_GB2312" w:hAnsi="仿宋" w:eastAsia="仿宋_GB2312"/>
          <w:b w:val="0"/>
          <w:bCs w:val="0"/>
          <w:color w:val="000000"/>
          <w:sz w:val="32"/>
          <w:szCs w:val="32"/>
        </w:rPr>
        <w:t>1000</w:t>
      </w:r>
      <w:r>
        <w:rPr>
          <w:rFonts w:hint="eastAsia" w:ascii="仿宋_GB2312" w:hAnsi="仿宋" w:eastAsia="仿宋_GB2312"/>
          <w:b w:val="0"/>
          <w:bCs w:val="0"/>
          <w:color w:val="000000"/>
          <w:sz w:val="32"/>
          <w:szCs w:val="32"/>
        </w:rPr>
        <w:t>平方米，二级总承包企业不超过</w:t>
      </w:r>
      <w:r>
        <w:rPr>
          <w:rFonts w:ascii="仿宋_GB2312" w:hAnsi="仿宋" w:eastAsia="仿宋_GB2312"/>
          <w:b w:val="0"/>
          <w:bCs w:val="0"/>
          <w:color w:val="000000"/>
          <w:sz w:val="32"/>
          <w:szCs w:val="32"/>
        </w:rPr>
        <w:t>500</w:t>
      </w:r>
      <w:r>
        <w:rPr>
          <w:rFonts w:hint="eastAsia" w:ascii="仿宋_GB2312" w:hAnsi="仿宋" w:eastAsia="仿宋_GB2312"/>
          <w:b w:val="0"/>
          <w:bCs w:val="0"/>
          <w:color w:val="000000"/>
          <w:sz w:val="32"/>
          <w:szCs w:val="32"/>
        </w:rPr>
        <w:t>平方米。企业已申请购买办公用房补助的不得重复申请享受租赁补助。租赁办公用房的企业，不可转租，仅限企业办公自用。</w:t>
      </w:r>
    </w:p>
    <w:p>
      <w:pPr>
        <w:widowControl w:val="0"/>
        <w:wordWrap/>
        <w:adjustRightInd w:val="0"/>
        <w:snapToGrid w:val="0"/>
        <w:spacing w:before="0" w:after="0" w:line="336" w:lineRule="auto"/>
        <w:ind w:left="0" w:leftChars="0" w:right="0" w:firstLine="640" w:firstLineChars="200"/>
        <w:jc w:val="both"/>
        <w:textAlignment w:val="auto"/>
        <w:outlineLvl w:val="9"/>
        <w:rPr>
          <w:rFonts w:ascii="楷体" w:hAnsi="楷体" w:eastAsia="楷体" w:cs="楷体"/>
          <w:b w:val="0"/>
          <w:bCs w:val="0"/>
          <w:color w:val="000000"/>
          <w:sz w:val="32"/>
          <w:szCs w:val="32"/>
        </w:rPr>
      </w:pPr>
      <w:r>
        <w:rPr>
          <w:rFonts w:hint="eastAsia" w:ascii="楷体" w:hAnsi="楷体" w:eastAsia="楷体" w:cs="楷体"/>
          <w:b w:val="0"/>
          <w:bCs w:val="0"/>
          <w:color w:val="000000"/>
          <w:sz w:val="32"/>
          <w:szCs w:val="32"/>
        </w:rPr>
        <w:t>（四）产值贡献奖</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hAnsi="仿宋" w:eastAsia="仿宋_GB2312"/>
          <w:b w:val="0"/>
          <w:bCs w:val="0"/>
          <w:color w:val="000000"/>
          <w:sz w:val="32"/>
          <w:szCs w:val="32"/>
        </w:rPr>
      </w:pPr>
      <w:r>
        <w:rPr>
          <w:rFonts w:hint="eastAsia" w:ascii="仿宋_GB2312" w:hAnsi="仿宋" w:eastAsia="仿宋_GB2312"/>
          <w:b w:val="0"/>
          <w:bCs w:val="0"/>
          <w:color w:val="000000"/>
          <w:sz w:val="32"/>
          <w:szCs w:val="32"/>
        </w:rPr>
        <w:t>当年度在本区产生税收的新引进企业，按已开具发票的造价年度总额</w:t>
      </w:r>
      <w:r>
        <w:rPr>
          <w:rFonts w:ascii="仿宋_GB2312" w:hAnsi="仿宋" w:eastAsia="仿宋_GB2312"/>
          <w:b w:val="0"/>
          <w:bCs w:val="0"/>
          <w:color w:val="000000"/>
          <w:sz w:val="32"/>
          <w:szCs w:val="32"/>
        </w:rPr>
        <w:t>2</w:t>
      </w:r>
      <w:r>
        <w:rPr>
          <w:rFonts w:hint="eastAsia" w:ascii="仿宋_GB2312" w:hAnsi="仿宋" w:eastAsia="仿宋_GB2312"/>
          <w:b w:val="0"/>
          <w:bCs w:val="0"/>
          <w:color w:val="000000"/>
          <w:sz w:val="32"/>
          <w:szCs w:val="32"/>
        </w:rPr>
        <w:t>亿元及以上的，一次性奖励</w:t>
      </w:r>
      <w:r>
        <w:rPr>
          <w:rFonts w:ascii="仿宋_GB2312" w:hAnsi="仿宋" w:eastAsia="仿宋_GB2312"/>
          <w:b w:val="0"/>
          <w:bCs w:val="0"/>
          <w:color w:val="000000"/>
          <w:sz w:val="32"/>
          <w:szCs w:val="32"/>
        </w:rPr>
        <w:t>5</w:t>
      </w:r>
      <w:r>
        <w:rPr>
          <w:rFonts w:hint="eastAsia" w:ascii="仿宋_GB2312" w:hAnsi="仿宋" w:eastAsia="仿宋_GB2312"/>
          <w:b w:val="0"/>
          <w:bCs w:val="0"/>
          <w:color w:val="000000"/>
          <w:sz w:val="32"/>
          <w:szCs w:val="32"/>
        </w:rPr>
        <w:t>万元，在此基础上，</w:t>
      </w:r>
      <w:r>
        <w:rPr>
          <w:rFonts w:hint="eastAsia" w:ascii="仿宋_GB2312" w:hAnsi="仿宋" w:eastAsia="仿宋_GB2312"/>
          <w:b w:val="0"/>
          <w:bCs w:val="0"/>
          <w:color w:val="000000"/>
          <w:sz w:val="32"/>
          <w:szCs w:val="32"/>
          <w:lang w:eastAsia="zh-CN"/>
        </w:rPr>
        <w:t>开具发票的造价</w:t>
      </w:r>
      <w:r>
        <w:rPr>
          <w:rFonts w:hint="eastAsia" w:ascii="仿宋_GB2312" w:hAnsi="仿宋" w:eastAsia="仿宋_GB2312"/>
          <w:b w:val="0"/>
          <w:bCs w:val="0"/>
          <w:color w:val="000000"/>
          <w:sz w:val="32"/>
          <w:szCs w:val="32"/>
        </w:rPr>
        <w:t>每增加</w:t>
      </w:r>
      <w:r>
        <w:rPr>
          <w:rFonts w:ascii="仿宋_GB2312" w:hAnsi="仿宋" w:eastAsia="仿宋_GB2312"/>
          <w:b w:val="0"/>
          <w:bCs w:val="0"/>
          <w:color w:val="000000"/>
          <w:sz w:val="32"/>
          <w:szCs w:val="32"/>
        </w:rPr>
        <w:t>1</w:t>
      </w:r>
      <w:r>
        <w:rPr>
          <w:rFonts w:hint="eastAsia" w:ascii="仿宋_GB2312" w:hAnsi="仿宋" w:eastAsia="仿宋_GB2312"/>
          <w:b w:val="0"/>
          <w:bCs w:val="0"/>
          <w:color w:val="000000"/>
          <w:sz w:val="32"/>
          <w:szCs w:val="32"/>
        </w:rPr>
        <w:t>亿元，奖励金额增加</w:t>
      </w:r>
      <w:r>
        <w:rPr>
          <w:rFonts w:ascii="仿宋_GB2312" w:hAnsi="仿宋" w:eastAsia="仿宋_GB2312"/>
          <w:b w:val="0"/>
          <w:bCs w:val="0"/>
          <w:color w:val="000000"/>
          <w:sz w:val="32"/>
          <w:szCs w:val="32"/>
        </w:rPr>
        <w:t>5</w:t>
      </w:r>
      <w:r>
        <w:rPr>
          <w:rFonts w:hint="eastAsia" w:ascii="仿宋_GB2312" w:hAnsi="仿宋" w:eastAsia="仿宋_GB2312"/>
          <w:b w:val="0"/>
          <w:bCs w:val="0"/>
          <w:color w:val="000000"/>
          <w:sz w:val="32"/>
          <w:szCs w:val="32"/>
        </w:rPr>
        <w:t>万元。按已开具发票的造价年度总额达到</w:t>
      </w:r>
      <w:r>
        <w:rPr>
          <w:rFonts w:ascii="仿宋_GB2312" w:hAnsi="仿宋" w:eastAsia="仿宋_GB2312"/>
          <w:b w:val="0"/>
          <w:bCs w:val="0"/>
          <w:color w:val="000000"/>
          <w:sz w:val="32"/>
          <w:szCs w:val="32"/>
        </w:rPr>
        <w:t>15</w:t>
      </w:r>
      <w:r>
        <w:rPr>
          <w:rFonts w:hint="eastAsia" w:ascii="仿宋_GB2312" w:hAnsi="仿宋" w:eastAsia="仿宋_GB2312"/>
          <w:b w:val="0"/>
          <w:bCs w:val="0"/>
          <w:color w:val="000000"/>
          <w:sz w:val="32"/>
          <w:szCs w:val="32"/>
        </w:rPr>
        <w:t>亿元及以上的，一次性奖励</w:t>
      </w:r>
      <w:r>
        <w:rPr>
          <w:rFonts w:ascii="仿宋_GB2312" w:hAnsi="仿宋" w:eastAsia="仿宋_GB2312"/>
          <w:b w:val="0"/>
          <w:bCs w:val="0"/>
          <w:color w:val="000000"/>
          <w:sz w:val="32"/>
          <w:szCs w:val="32"/>
        </w:rPr>
        <w:t>100</w:t>
      </w:r>
      <w:r>
        <w:rPr>
          <w:rFonts w:hint="eastAsia" w:ascii="仿宋_GB2312" w:hAnsi="仿宋" w:eastAsia="仿宋_GB2312"/>
          <w:b w:val="0"/>
          <w:bCs w:val="0"/>
          <w:color w:val="000000"/>
          <w:sz w:val="32"/>
          <w:szCs w:val="32"/>
        </w:rPr>
        <w:t>万元，在此基础上，</w:t>
      </w:r>
      <w:r>
        <w:rPr>
          <w:rFonts w:hint="eastAsia" w:ascii="仿宋_GB2312" w:hAnsi="仿宋" w:eastAsia="仿宋_GB2312"/>
          <w:b w:val="0"/>
          <w:bCs w:val="0"/>
          <w:color w:val="000000"/>
          <w:sz w:val="32"/>
          <w:szCs w:val="32"/>
          <w:lang w:eastAsia="zh-CN"/>
        </w:rPr>
        <w:t>开具发票的造价</w:t>
      </w:r>
      <w:r>
        <w:rPr>
          <w:rFonts w:hint="eastAsia" w:ascii="仿宋_GB2312" w:hAnsi="仿宋" w:eastAsia="仿宋_GB2312"/>
          <w:b w:val="0"/>
          <w:bCs w:val="0"/>
          <w:color w:val="000000"/>
          <w:sz w:val="32"/>
          <w:szCs w:val="32"/>
        </w:rPr>
        <w:t>每增加</w:t>
      </w:r>
      <w:r>
        <w:rPr>
          <w:rFonts w:ascii="仿宋_GB2312" w:hAnsi="仿宋" w:eastAsia="仿宋_GB2312"/>
          <w:b w:val="0"/>
          <w:bCs w:val="0"/>
          <w:color w:val="000000"/>
          <w:sz w:val="32"/>
          <w:szCs w:val="32"/>
        </w:rPr>
        <w:t>10</w:t>
      </w:r>
      <w:r>
        <w:rPr>
          <w:rFonts w:hint="eastAsia" w:ascii="仿宋_GB2312" w:hAnsi="仿宋" w:eastAsia="仿宋_GB2312"/>
          <w:b w:val="0"/>
          <w:bCs w:val="0"/>
          <w:color w:val="000000"/>
          <w:sz w:val="32"/>
          <w:szCs w:val="32"/>
        </w:rPr>
        <w:t>亿元，奖励金额增加</w:t>
      </w:r>
      <w:r>
        <w:rPr>
          <w:rFonts w:ascii="仿宋_GB2312" w:hAnsi="仿宋" w:eastAsia="仿宋_GB2312"/>
          <w:b w:val="0"/>
          <w:bCs w:val="0"/>
          <w:color w:val="000000"/>
          <w:sz w:val="32"/>
          <w:szCs w:val="32"/>
        </w:rPr>
        <w:t>50</w:t>
      </w:r>
      <w:r>
        <w:rPr>
          <w:rFonts w:hint="eastAsia" w:ascii="仿宋_GB2312" w:hAnsi="仿宋" w:eastAsia="仿宋_GB2312"/>
          <w:b w:val="0"/>
          <w:bCs w:val="0"/>
          <w:color w:val="000000"/>
          <w:sz w:val="32"/>
          <w:szCs w:val="32"/>
        </w:rPr>
        <w:t>万元。</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hAnsi="仿宋" w:eastAsia="仿宋_GB2312"/>
          <w:b w:val="0"/>
          <w:bCs w:val="0"/>
          <w:color w:val="000000"/>
          <w:sz w:val="32"/>
          <w:szCs w:val="32"/>
        </w:rPr>
      </w:pPr>
      <w:r>
        <w:rPr>
          <w:rFonts w:hint="eastAsia" w:ascii="仿宋_GB2312" w:hAnsi="仿宋" w:eastAsia="仿宋_GB2312"/>
          <w:b w:val="0"/>
          <w:bCs w:val="0"/>
          <w:color w:val="000000"/>
          <w:sz w:val="32"/>
          <w:szCs w:val="32"/>
        </w:rPr>
        <w:t>上述奖励补助资金为企业注册地迁入当年度补助，除房屋租赁补助外，均仅补助</w:t>
      </w:r>
      <w:r>
        <w:rPr>
          <w:rFonts w:ascii="仿宋_GB2312" w:hAnsi="仿宋" w:eastAsia="仿宋_GB2312"/>
          <w:b w:val="0"/>
          <w:bCs w:val="0"/>
          <w:color w:val="000000"/>
          <w:sz w:val="32"/>
          <w:szCs w:val="32"/>
        </w:rPr>
        <w:t>1</w:t>
      </w:r>
      <w:r>
        <w:rPr>
          <w:rFonts w:hint="eastAsia" w:ascii="仿宋_GB2312" w:hAnsi="仿宋" w:eastAsia="仿宋_GB2312"/>
          <w:b w:val="0"/>
          <w:bCs w:val="0"/>
          <w:color w:val="000000"/>
          <w:sz w:val="32"/>
          <w:szCs w:val="32"/>
        </w:rPr>
        <w:t>年。如在承诺期间迁离本区的，必须退回上述所有补助资金后，市场监督管理、税务等部门才给予办理外迁手续。</w:t>
      </w:r>
    </w:p>
    <w:p>
      <w:pPr>
        <w:widowControl w:val="0"/>
        <w:wordWrap/>
        <w:adjustRightInd w:val="0"/>
        <w:snapToGrid w:val="0"/>
        <w:spacing w:before="0" w:after="0" w:line="336" w:lineRule="auto"/>
        <w:ind w:left="0" w:leftChars="0" w:right="0" w:firstLine="640" w:firstLineChars="200"/>
        <w:jc w:val="both"/>
        <w:textAlignment w:val="auto"/>
        <w:outlineLvl w:val="9"/>
        <w:rPr>
          <w:rFonts w:ascii="黑体" w:hAnsi="黑体" w:eastAsia="黑体" w:cs="黑体"/>
          <w:b w:val="0"/>
          <w:bCs w:val="0"/>
          <w:color w:val="000000"/>
          <w:sz w:val="32"/>
          <w:szCs w:val="32"/>
        </w:rPr>
      </w:pPr>
      <w:r>
        <w:rPr>
          <w:rFonts w:hint="eastAsia" w:ascii="黑体" w:hAnsi="黑体" w:eastAsia="黑体" w:cs="黑体"/>
          <w:b w:val="0"/>
          <w:bCs w:val="0"/>
          <w:color w:val="000000"/>
          <w:sz w:val="32"/>
          <w:szCs w:val="32"/>
        </w:rPr>
        <w:t>四、打造建筑业总部和产业园</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楷体" w:hAnsi="楷体" w:eastAsia="楷体" w:cs="楷体"/>
          <w:b w:val="0"/>
          <w:bCs w:val="0"/>
          <w:color w:val="000000"/>
          <w:sz w:val="32"/>
          <w:szCs w:val="32"/>
        </w:rPr>
        <w:t>（一）引导区内和新引进的企业</w:t>
      </w:r>
      <w:r>
        <w:rPr>
          <w:rFonts w:hint="eastAsia" w:ascii="仿宋_GB2312" w:hAnsi="仿宋_GB2312" w:eastAsia="仿宋_GB2312" w:cs="仿宋_GB2312"/>
          <w:b w:val="0"/>
          <w:bCs w:val="0"/>
          <w:color w:val="000000"/>
          <w:sz w:val="32"/>
          <w:szCs w:val="32"/>
        </w:rPr>
        <w:t>（含施工总承包企业、专业承包、建筑劳务、建材公司、建筑机械租赁、勘察、设计、监理、造价咨询）入驻区商务大楼,打造建筑业办公总部。</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eastAsia="仿宋_GB2312"/>
          <w:b w:val="0"/>
          <w:bCs w:val="0"/>
          <w:color w:val="000000"/>
          <w:sz w:val="32"/>
          <w:szCs w:val="32"/>
        </w:rPr>
      </w:pPr>
      <w:r>
        <w:rPr>
          <w:rFonts w:ascii="仿宋_GB2312" w:eastAsia="仿宋_GB2312"/>
          <w:b w:val="0"/>
          <w:bCs w:val="0"/>
          <w:color w:val="000000"/>
          <w:sz w:val="32"/>
          <w:szCs w:val="32"/>
        </w:rPr>
        <w:t>1.</w:t>
      </w:r>
      <w:r>
        <w:rPr>
          <w:rFonts w:hint="eastAsia" w:ascii="仿宋_GB2312" w:eastAsia="仿宋_GB2312"/>
          <w:b w:val="0"/>
          <w:bCs w:val="0"/>
          <w:color w:val="000000"/>
          <w:sz w:val="32"/>
          <w:szCs w:val="32"/>
        </w:rPr>
        <w:t>入驻条件</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eastAsia="仿宋_GB2312"/>
          <w:b w:val="0"/>
          <w:bCs w:val="0"/>
          <w:color w:val="000000"/>
          <w:sz w:val="32"/>
          <w:szCs w:val="32"/>
        </w:rPr>
      </w:pPr>
      <w:r>
        <w:rPr>
          <w:rFonts w:hint="eastAsia" w:ascii="仿宋_GB2312" w:hAnsi="仿宋" w:eastAsia="仿宋_GB2312"/>
          <w:b w:val="0"/>
          <w:bCs w:val="0"/>
          <w:color w:val="000000"/>
          <w:sz w:val="32"/>
          <w:szCs w:val="32"/>
        </w:rPr>
        <w:t>（</w:t>
      </w:r>
      <w:r>
        <w:rPr>
          <w:rFonts w:ascii="仿宋_GB2312" w:hAnsi="仿宋" w:eastAsia="仿宋_GB2312"/>
          <w:b w:val="0"/>
          <w:bCs w:val="0"/>
          <w:color w:val="000000"/>
          <w:sz w:val="32"/>
          <w:szCs w:val="32"/>
        </w:rPr>
        <w:t>1</w:t>
      </w:r>
      <w:r>
        <w:rPr>
          <w:rFonts w:hint="eastAsia" w:ascii="仿宋_GB2312" w:hAnsi="仿宋" w:eastAsia="仿宋_GB2312"/>
          <w:b w:val="0"/>
          <w:bCs w:val="0"/>
          <w:color w:val="000000"/>
          <w:sz w:val="32"/>
          <w:szCs w:val="32"/>
        </w:rPr>
        <w:t>）</w:t>
      </w:r>
      <w:r>
        <w:rPr>
          <w:rFonts w:hint="eastAsia" w:ascii="仿宋_GB2312" w:eastAsia="仿宋_GB2312"/>
          <w:b w:val="0"/>
          <w:bCs w:val="0"/>
          <w:color w:val="000000"/>
          <w:sz w:val="32"/>
          <w:szCs w:val="32"/>
        </w:rPr>
        <w:t>入驻区商务大楼的企业</w:t>
      </w:r>
      <w:r>
        <w:rPr>
          <w:rFonts w:hint="eastAsia" w:ascii="仿宋_GB2312" w:hAnsi="仿宋" w:eastAsia="仿宋_GB2312"/>
          <w:b w:val="0"/>
          <w:bCs w:val="0"/>
          <w:color w:val="000000"/>
          <w:sz w:val="32"/>
          <w:szCs w:val="32"/>
        </w:rPr>
        <w:t>上一年度</w:t>
      </w:r>
      <w:r>
        <w:rPr>
          <w:rFonts w:hint="eastAsia" w:ascii="仿宋_GB2312" w:eastAsia="仿宋_GB2312"/>
          <w:b w:val="0"/>
          <w:bCs w:val="0"/>
          <w:color w:val="000000"/>
          <w:sz w:val="32"/>
          <w:szCs w:val="32"/>
        </w:rPr>
        <w:t>纳税额标准：特级</w:t>
      </w:r>
      <w:r>
        <w:rPr>
          <w:rFonts w:hint="eastAsia" w:ascii="仿宋_GB2312" w:eastAsia="仿宋_GB2312"/>
          <w:b w:val="0"/>
          <w:bCs w:val="0"/>
          <w:sz w:val="32"/>
          <w:szCs w:val="32"/>
        </w:rPr>
        <w:t>总承包</w:t>
      </w:r>
      <w:r>
        <w:rPr>
          <w:rFonts w:hint="eastAsia" w:ascii="仿宋_GB2312" w:eastAsia="仿宋_GB2312"/>
          <w:b w:val="0"/>
          <w:bCs w:val="0"/>
          <w:color w:val="000000"/>
          <w:sz w:val="32"/>
          <w:szCs w:val="32"/>
        </w:rPr>
        <w:t>企业不低于</w:t>
      </w:r>
      <w:r>
        <w:rPr>
          <w:rFonts w:ascii="仿宋_GB2312" w:eastAsia="仿宋_GB2312"/>
          <w:b w:val="0"/>
          <w:bCs w:val="0"/>
          <w:color w:val="000000"/>
          <w:sz w:val="32"/>
          <w:szCs w:val="32"/>
        </w:rPr>
        <w:t>1000</w:t>
      </w:r>
      <w:r>
        <w:rPr>
          <w:rFonts w:hint="eastAsia" w:ascii="仿宋_GB2312" w:eastAsia="仿宋_GB2312"/>
          <w:b w:val="0"/>
          <w:bCs w:val="0"/>
          <w:color w:val="000000"/>
          <w:sz w:val="32"/>
          <w:szCs w:val="32"/>
        </w:rPr>
        <w:t>万元，一级</w:t>
      </w:r>
      <w:r>
        <w:rPr>
          <w:rFonts w:hint="eastAsia" w:ascii="仿宋_GB2312" w:eastAsia="仿宋_GB2312"/>
          <w:b w:val="0"/>
          <w:bCs w:val="0"/>
          <w:sz w:val="32"/>
          <w:szCs w:val="32"/>
        </w:rPr>
        <w:t>总承包</w:t>
      </w:r>
      <w:r>
        <w:rPr>
          <w:rFonts w:hint="eastAsia" w:ascii="仿宋_GB2312" w:eastAsia="仿宋_GB2312"/>
          <w:b w:val="0"/>
          <w:bCs w:val="0"/>
          <w:color w:val="000000"/>
          <w:sz w:val="32"/>
          <w:szCs w:val="32"/>
        </w:rPr>
        <w:t>企业不低于</w:t>
      </w:r>
      <w:r>
        <w:rPr>
          <w:rFonts w:ascii="仿宋_GB2312" w:eastAsia="仿宋_GB2312"/>
          <w:b w:val="0"/>
          <w:bCs w:val="0"/>
          <w:color w:val="000000"/>
          <w:sz w:val="32"/>
          <w:szCs w:val="32"/>
        </w:rPr>
        <w:t>300</w:t>
      </w:r>
      <w:r>
        <w:rPr>
          <w:rFonts w:hint="eastAsia" w:ascii="仿宋_GB2312" w:eastAsia="仿宋_GB2312"/>
          <w:b w:val="0"/>
          <w:bCs w:val="0"/>
          <w:color w:val="000000"/>
          <w:sz w:val="32"/>
          <w:szCs w:val="32"/>
        </w:rPr>
        <w:t>万元，二级</w:t>
      </w:r>
      <w:r>
        <w:rPr>
          <w:rFonts w:hint="eastAsia" w:ascii="仿宋_GB2312" w:eastAsia="仿宋_GB2312"/>
          <w:b w:val="0"/>
          <w:bCs w:val="0"/>
          <w:sz w:val="32"/>
          <w:szCs w:val="32"/>
        </w:rPr>
        <w:t>总承包</w:t>
      </w:r>
      <w:r>
        <w:rPr>
          <w:rFonts w:hint="eastAsia" w:ascii="仿宋_GB2312" w:eastAsia="仿宋_GB2312"/>
          <w:b w:val="0"/>
          <w:bCs w:val="0"/>
          <w:color w:val="000000"/>
          <w:sz w:val="32"/>
          <w:szCs w:val="32"/>
        </w:rPr>
        <w:t>企业不低于</w:t>
      </w:r>
      <w:r>
        <w:rPr>
          <w:rFonts w:ascii="仿宋_GB2312" w:eastAsia="仿宋_GB2312"/>
          <w:b w:val="0"/>
          <w:bCs w:val="0"/>
          <w:color w:val="000000"/>
          <w:sz w:val="32"/>
          <w:szCs w:val="32"/>
        </w:rPr>
        <w:t>100</w:t>
      </w:r>
      <w:r>
        <w:rPr>
          <w:rFonts w:hint="eastAsia" w:ascii="仿宋_GB2312" w:eastAsia="仿宋_GB2312"/>
          <w:b w:val="0"/>
          <w:bCs w:val="0"/>
          <w:color w:val="000000"/>
          <w:sz w:val="32"/>
          <w:szCs w:val="32"/>
        </w:rPr>
        <w:t>万元，三级</w:t>
      </w:r>
      <w:r>
        <w:rPr>
          <w:rFonts w:hint="eastAsia" w:ascii="仿宋_GB2312" w:eastAsia="仿宋_GB2312"/>
          <w:b w:val="0"/>
          <w:bCs w:val="0"/>
          <w:sz w:val="32"/>
          <w:szCs w:val="32"/>
        </w:rPr>
        <w:t>总承包</w:t>
      </w:r>
      <w:r>
        <w:rPr>
          <w:rFonts w:hint="eastAsia" w:ascii="仿宋_GB2312" w:eastAsia="仿宋_GB2312"/>
          <w:b w:val="0"/>
          <w:bCs w:val="0"/>
          <w:sz w:val="32"/>
          <w:szCs w:val="32"/>
          <w:lang w:eastAsia="zh-CN"/>
        </w:rPr>
        <w:t>企业</w:t>
      </w:r>
      <w:r>
        <w:rPr>
          <w:rFonts w:hint="eastAsia" w:ascii="仿宋_GB2312" w:eastAsia="仿宋_GB2312"/>
          <w:b w:val="0"/>
          <w:bCs w:val="0"/>
          <w:color w:val="000000"/>
          <w:sz w:val="32"/>
          <w:szCs w:val="32"/>
        </w:rPr>
        <w:t>及其他企业不低于</w:t>
      </w:r>
      <w:r>
        <w:rPr>
          <w:rFonts w:ascii="仿宋_GB2312" w:eastAsia="仿宋_GB2312"/>
          <w:b w:val="0"/>
          <w:bCs w:val="0"/>
          <w:color w:val="000000"/>
          <w:sz w:val="32"/>
          <w:szCs w:val="32"/>
        </w:rPr>
        <w:t>50</w:t>
      </w:r>
      <w:r>
        <w:rPr>
          <w:rFonts w:hint="eastAsia" w:ascii="仿宋_GB2312" w:eastAsia="仿宋_GB2312"/>
          <w:b w:val="0"/>
          <w:bCs w:val="0"/>
          <w:color w:val="000000"/>
          <w:sz w:val="32"/>
          <w:szCs w:val="32"/>
        </w:rPr>
        <w:t>万元。入驻企业需提供书面申请及</w:t>
      </w:r>
      <w:r>
        <w:rPr>
          <w:rFonts w:ascii="仿宋_GB2312" w:eastAsia="仿宋_GB2312"/>
          <w:b w:val="0"/>
          <w:bCs w:val="0"/>
          <w:color w:val="000000"/>
          <w:sz w:val="32"/>
          <w:szCs w:val="32"/>
        </w:rPr>
        <w:t>10</w:t>
      </w:r>
      <w:r>
        <w:rPr>
          <w:rFonts w:hint="eastAsia" w:ascii="仿宋_GB2312" w:eastAsia="仿宋_GB2312"/>
          <w:b w:val="0"/>
          <w:bCs w:val="0"/>
          <w:color w:val="000000"/>
          <w:sz w:val="32"/>
          <w:szCs w:val="32"/>
        </w:rPr>
        <w:t>年内不迁离区商务大楼或转租的承诺。</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eastAsia="仿宋_GB2312"/>
          <w:b w:val="0"/>
          <w:bCs w:val="0"/>
          <w:sz w:val="32"/>
          <w:szCs w:val="32"/>
        </w:rPr>
      </w:pPr>
      <w:r>
        <w:rPr>
          <w:rFonts w:hint="eastAsia" w:ascii="仿宋_GB2312" w:eastAsia="仿宋_GB2312"/>
          <w:b w:val="0"/>
          <w:bCs w:val="0"/>
          <w:color w:val="000000"/>
          <w:sz w:val="32"/>
          <w:szCs w:val="32"/>
        </w:rPr>
        <w:t>（</w:t>
      </w:r>
      <w:r>
        <w:rPr>
          <w:rFonts w:ascii="仿宋_GB2312" w:eastAsia="仿宋_GB2312"/>
          <w:b w:val="0"/>
          <w:bCs w:val="0"/>
          <w:color w:val="000000"/>
          <w:sz w:val="32"/>
          <w:szCs w:val="32"/>
        </w:rPr>
        <w:t>2</w:t>
      </w:r>
      <w:r>
        <w:rPr>
          <w:rFonts w:hint="eastAsia" w:ascii="仿宋_GB2312" w:eastAsia="仿宋_GB2312"/>
          <w:b w:val="0"/>
          <w:bCs w:val="0"/>
          <w:color w:val="000000"/>
          <w:sz w:val="32"/>
          <w:szCs w:val="32"/>
        </w:rPr>
        <w:t>）新引进</w:t>
      </w:r>
      <w:r>
        <w:rPr>
          <w:rFonts w:hint="eastAsia" w:ascii="仿宋_GB2312" w:hAnsi="仿宋" w:eastAsia="仿宋_GB2312"/>
          <w:b w:val="0"/>
          <w:bCs w:val="0"/>
          <w:color w:val="000000"/>
          <w:sz w:val="32"/>
          <w:szCs w:val="32"/>
        </w:rPr>
        <w:t>区外企业申请入驻区商务大楼的，自签订协议后三个月内未将注册地迁入本区的，取消入驻资格。</w:t>
      </w:r>
      <w:r>
        <w:rPr>
          <w:rFonts w:hint="eastAsia" w:ascii="仿宋_GB2312" w:eastAsia="仿宋_GB2312"/>
          <w:b w:val="0"/>
          <w:bCs w:val="0"/>
          <w:color w:val="000000"/>
          <w:sz w:val="32"/>
          <w:szCs w:val="32"/>
        </w:rPr>
        <w:t>企业自入驻区商务大楼之日起，半年内需完成装修并对外办公。严禁企业闲置楼房和转租，若发现有上述行为，按</w:t>
      </w:r>
      <w:r>
        <w:rPr>
          <w:rFonts w:hint="eastAsia" w:ascii="仿宋_GB2312" w:eastAsia="仿宋_GB2312"/>
          <w:b w:val="0"/>
          <w:bCs w:val="0"/>
          <w:color w:val="auto"/>
          <w:sz w:val="32"/>
          <w:szCs w:val="32"/>
          <w:lang w:val="en-US" w:eastAsia="zh-CN"/>
        </w:rPr>
        <w:t>每月</w:t>
      </w:r>
      <w:r>
        <w:rPr>
          <w:rFonts w:ascii="仿宋_GB2312" w:eastAsia="仿宋_GB2312"/>
          <w:b w:val="0"/>
          <w:bCs w:val="0"/>
          <w:color w:val="000000"/>
          <w:sz w:val="32"/>
          <w:szCs w:val="32"/>
        </w:rPr>
        <w:t>50</w:t>
      </w:r>
      <w:r>
        <w:rPr>
          <w:rFonts w:hint="eastAsia" w:ascii="仿宋_GB2312" w:eastAsia="仿宋_GB2312"/>
          <w:b w:val="0"/>
          <w:bCs w:val="0"/>
          <w:color w:val="000000"/>
          <w:sz w:val="32"/>
          <w:szCs w:val="32"/>
        </w:rPr>
        <w:t>元</w:t>
      </w:r>
      <w:r>
        <w:rPr>
          <w:rFonts w:ascii="仿宋_GB2312" w:eastAsia="仿宋_GB2312"/>
          <w:b w:val="0"/>
          <w:bCs w:val="0"/>
          <w:color w:val="000000"/>
          <w:sz w:val="32"/>
          <w:szCs w:val="32"/>
        </w:rPr>
        <w:t>/</w:t>
      </w:r>
      <w:r>
        <w:rPr>
          <w:rFonts w:hint="eastAsia" w:ascii="仿宋_GB2312" w:eastAsia="仿宋_GB2312"/>
          <w:b w:val="0"/>
          <w:bCs w:val="0"/>
          <w:color w:val="000000"/>
          <w:sz w:val="32"/>
          <w:szCs w:val="32"/>
        </w:rPr>
        <w:t>平方米收取办公用房租金，并要求其限期整改，否则取消入驻资格，</w:t>
      </w:r>
      <w:r>
        <w:rPr>
          <w:rFonts w:hint="eastAsia" w:ascii="仿宋_GB2312" w:eastAsia="仿宋_GB2312"/>
          <w:b w:val="0"/>
          <w:bCs w:val="0"/>
          <w:sz w:val="32"/>
          <w:szCs w:val="32"/>
        </w:rPr>
        <w:t>由区政府无偿收回办公用房。</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 w:eastAsia="仿宋_GB2312"/>
          <w:b w:val="0"/>
          <w:bCs w:val="0"/>
          <w:color w:val="000000"/>
          <w:sz w:val="32"/>
          <w:szCs w:val="32"/>
          <w:u w:val="single"/>
          <w:lang w:val="en-US" w:eastAsia="zh-CN"/>
        </w:rPr>
      </w:pPr>
      <w:r>
        <w:rPr>
          <w:rFonts w:hint="eastAsia" w:ascii="仿宋_GB2312" w:hAnsi="仿宋" w:eastAsia="仿宋_GB2312"/>
          <w:b w:val="0"/>
          <w:bCs w:val="0"/>
          <w:color w:val="000000"/>
          <w:sz w:val="32"/>
          <w:szCs w:val="32"/>
        </w:rPr>
        <w:t>（</w:t>
      </w:r>
      <w:r>
        <w:rPr>
          <w:rFonts w:ascii="仿宋_GB2312" w:hAnsi="仿宋" w:eastAsia="仿宋_GB2312"/>
          <w:b w:val="0"/>
          <w:bCs w:val="0"/>
          <w:color w:val="000000"/>
          <w:sz w:val="32"/>
          <w:szCs w:val="32"/>
        </w:rPr>
        <w:t>3</w:t>
      </w:r>
      <w:r>
        <w:rPr>
          <w:rFonts w:hint="eastAsia" w:ascii="仿宋_GB2312" w:hAnsi="仿宋" w:eastAsia="仿宋_GB2312"/>
          <w:b w:val="0"/>
          <w:bCs w:val="0"/>
          <w:color w:val="000000"/>
          <w:sz w:val="32"/>
          <w:szCs w:val="32"/>
        </w:rPr>
        <w:t>）</w:t>
      </w:r>
      <w:r>
        <w:rPr>
          <w:rFonts w:hint="eastAsia" w:ascii="仿宋_GB2312" w:eastAsia="仿宋_GB2312"/>
          <w:b w:val="0"/>
          <w:bCs w:val="0"/>
          <w:color w:val="000000"/>
          <w:sz w:val="32"/>
          <w:szCs w:val="32"/>
          <w:lang w:val="en-US" w:eastAsia="zh-CN"/>
        </w:rPr>
        <w:t>为规范租赁行为，入驻区商务大楼企业前五年先按每月30元/平方米标准于每季度末缴纳租金，政府收取后5个工作日之内予以全额补助；若企业当年度纳税额低于本条规定入驻税收标准的，应按每月15元/平方米的标准于次年1月底之前向区政府补缴上一年度办公用房租金。第六年至第十年按每月30元/平方米向入驻企业收取办公用房租金。</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hAnsi="仿宋" w:eastAsia="仿宋_GB2312"/>
          <w:b w:val="0"/>
          <w:bCs w:val="0"/>
          <w:color w:val="000000"/>
          <w:sz w:val="32"/>
          <w:szCs w:val="32"/>
        </w:rPr>
      </w:pPr>
      <w:r>
        <w:rPr>
          <w:rFonts w:ascii="仿宋_GB2312" w:eastAsia="仿宋_GB2312"/>
          <w:b w:val="0"/>
          <w:bCs w:val="0"/>
          <w:color w:val="000000"/>
          <w:sz w:val="32"/>
          <w:szCs w:val="32"/>
        </w:rPr>
        <w:t>2.</w:t>
      </w:r>
      <w:r>
        <w:rPr>
          <w:rFonts w:hint="eastAsia" w:ascii="仿宋_GB2312" w:hAnsi="仿宋" w:eastAsia="仿宋_GB2312"/>
          <w:b w:val="0"/>
          <w:bCs w:val="0"/>
          <w:color w:val="000000"/>
          <w:sz w:val="32"/>
          <w:szCs w:val="32"/>
        </w:rPr>
        <w:t>面积标准</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hAnsi="仿宋" w:eastAsia="仿宋_GB2312"/>
          <w:b w:val="0"/>
          <w:bCs w:val="0"/>
          <w:color w:val="000000"/>
          <w:sz w:val="32"/>
          <w:szCs w:val="32"/>
        </w:rPr>
      </w:pPr>
      <w:r>
        <w:rPr>
          <w:rFonts w:hint="eastAsia" w:ascii="仿宋_GB2312" w:hAnsi="仿宋" w:eastAsia="仿宋_GB2312"/>
          <w:b w:val="0"/>
          <w:bCs w:val="0"/>
          <w:color w:val="000000"/>
          <w:sz w:val="32"/>
          <w:szCs w:val="32"/>
        </w:rPr>
        <w:t>对年纳税达到</w:t>
      </w:r>
      <w:r>
        <w:rPr>
          <w:rFonts w:ascii="仿宋_GB2312" w:hAnsi="仿宋" w:eastAsia="仿宋_GB2312"/>
          <w:b w:val="0"/>
          <w:bCs w:val="0"/>
          <w:color w:val="000000"/>
          <w:sz w:val="32"/>
          <w:szCs w:val="32"/>
        </w:rPr>
        <w:t>50</w:t>
      </w:r>
      <w:r>
        <w:rPr>
          <w:rFonts w:hint="eastAsia" w:ascii="仿宋_GB2312" w:hAnsi="仿宋" w:eastAsia="仿宋_GB2312"/>
          <w:b w:val="0"/>
          <w:bCs w:val="0"/>
          <w:color w:val="000000"/>
          <w:sz w:val="32"/>
          <w:szCs w:val="32"/>
        </w:rPr>
        <w:t>万元以上的三级总承包</w:t>
      </w:r>
      <w:r>
        <w:rPr>
          <w:rFonts w:hint="eastAsia" w:ascii="仿宋_GB2312" w:hAnsi="仿宋" w:eastAsia="仿宋_GB2312"/>
          <w:b w:val="0"/>
          <w:bCs w:val="0"/>
          <w:color w:val="000000"/>
          <w:sz w:val="32"/>
          <w:szCs w:val="32"/>
          <w:lang w:eastAsia="zh-CN"/>
        </w:rPr>
        <w:t>企业</w:t>
      </w:r>
      <w:r>
        <w:rPr>
          <w:rFonts w:hint="eastAsia" w:ascii="仿宋_GB2312" w:hAnsi="仿宋" w:eastAsia="仿宋_GB2312"/>
          <w:b w:val="0"/>
          <w:bCs w:val="0"/>
          <w:color w:val="000000"/>
          <w:sz w:val="32"/>
          <w:szCs w:val="32"/>
        </w:rPr>
        <w:t>及其他企业入驻区商务大楼，提供不超过标准层三分之一（约</w:t>
      </w:r>
      <w:r>
        <w:rPr>
          <w:rFonts w:ascii="仿宋_GB2312" w:hAnsi="仿宋" w:eastAsia="仿宋_GB2312"/>
          <w:b w:val="0"/>
          <w:bCs w:val="0"/>
          <w:color w:val="000000"/>
          <w:sz w:val="32"/>
          <w:szCs w:val="32"/>
        </w:rPr>
        <w:t>300</w:t>
      </w:r>
      <w:r>
        <w:rPr>
          <w:rFonts w:hint="eastAsia" w:ascii="仿宋_GB2312" w:hAnsi="仿宋" w:eastAsia="仿宋_GB2312"/>
          <w:b w:val="0"/>
          <w:bCs w:val="0"/>
          <w:color w:val="000000"/>
          <w:sz w:val="32"/>
          <w:szCs w:val="32"/>
        </w:rPr>
        <w:t>平方米，含公摊）作为办公用房。二级企业提供不超过标准层二分之一（约</w:t>
      </w:r>
      <w:r>
        <w:rPr>
          <w:rFonts w:ascii="仿宋_GB2312" w:hAnsi="仿宋" w:eastAsia="仿宋_GB2312"/>
          <w:b w:val="0"/>
          <w:bCs w:val="0"/>
          <w:color w:val="000000"/>
          <w:sz w:val="32"/>
          <w:szCs w:val="32"/>
        </w:rPr>
        <w:t>438</w:t>
      </w:r>
      <w:r>
        <w:rPr>
          <w:rFonts w:hint="eastAsia" w:ascii="仿宋_GB2312" w:hAnsi="仿宋" w:eastAsia="仿宋_GB2312"/>
          <w:b w:val="0"/>
          <w:bCs w:val="0"/>
          <w:color w:val="000000"/>
          <w:sz w:val="32"/>
          <w:szCs w:val="32"/>
        </w:rPr>
        <w:t>平方米，含公摊）作为办公用房。一级企业提供不超过一层标准层（约876平方米，含公摊）作为办公用房。特级企业提供不超过两层标准层（约</w:t>
      </w:r>
      <w:r>
        <w:rPr>
          <w:rFonts w:ascii="仿宋_GB2312" w:hAnsi="仿宋" w:eastAsia="仿宋_GB2312"/>
          <w:b w:val="0"/>
          <w:bCs w:val="0"/>
          <w:color w:val="000000"/>
          <w:sz w:val="32"/>
          <w:szCs w:val="32"/>
        </w:rPr>
        <w:t>1751</w:t>
      </w:r>
      <w:r>
        <w:rPr>
          <w:rFonts w:hint="eastAsia" w:ascii="仿宋_GB2312" w:hAnsi="仿宋" w:eastAsia="仿宋_GB2312"/>
          <w:b w:val="0"/>
          <w:bCs w:val="0"/>
          <w:color w:val="000000"/>
          <w:sz w:val="32"/>
          <w:szCs w:val="32"/>
        </w:rPr>
        <w:t>平方米，含公摊）作为办公用房。</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hAnsi="仿宋" w:eastAsia="仿宋_GB2312"/>
          <w:b w:val="0"/>
          <w:bCs w:val="0"/>
          <w:color w:val="000000"/>
          <w:sz w:val="32"/>
          <w:szCs w:val="32"/>
        </w:rPr>
      </w:pPr>
      <w:r>
        <w:rPr>
          <w:rFonts w:ascii="仿宋_GB2312" w:hAnsi="仿宋" w:eastAsia="仿宋_GB2312"/>
          <w:b w:val="0"/>
          <w:bCs w:val="0"/>
          <w:color w:val="000000"/>
          <w:sz w:val="32"/>
          <w:szCs w:val="32"/>
        </w:rPr>
        <w:t>3.</w:t>
      </w:r>
      <w:r>
        <w:rPr>
          <w:rFonts w:hint="eastAsia" w:ascii="仿宋_GB2312" w:hAnsi="仿宋" w:eastAsia="仿宋_GB2312"/>
          <w:b w:val="0"/>
          <w:bCs w:val="0"/>
          <w:color w:val="000000"/>
          <w:sz w:val="32"/>
          <w:szCs w:val="32"/>
        </w:rPr>
        <w:t>楼层安排</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hAnsi="仿宋" w:eastAsia="仿宋_GB2312"/>
          <w:b w:val="0"/>
          <w:bCs w:val="0"/>
          <w:color w:val="000000"/>
          <w:sz w:val="32"/>
          <w:szCs w:val="32"/>
        </w:rPr>
      </w:pPr>
      <w:r>
        <w:rPr>
          <w:rFonts w:hint="eastAsia" w:ascii="仿宋_GB2312" w:hAnsi="仿宋" w:eastAsia="仿宋_GB2312"/>
          <w:b w:val="0"/>
          <w:bCs w:val="0"/>
          <w:color w:val="000000"/>
          <w:sz w:val="32"/>
          <w:szCs w:val="32"/>
        </w:rPr>
        <w:t>区商务大楼</w:t>
      </w:r>
      <w:r>
        <w:rPr>
          <w:rFonts w:hint="eastAsia" w:ascii="仿宋_GB2312" w:eastAsia="仿宋_GB2312"/>
          <w:b w:val="0"/>
          <w:bCs w:val="0"/>
          <w:color w:val="000000"/>
          <w:sz w:val="32"/>
          <w:szCs w:val="32"/>
        </w:rPr>
        <w:t>第</w:t>
      </w:r>
      <w:r>
        <w:rPr>
          <w:rFonts w:ascii="仿宋_GB2312" w:eastAsia="仿宋_GB2312"/>
          <w:b w:val="0"/>
          <w:bCs w:val="0"/>
          <w:color w:val="000000"/>
          <w:sz w:val="32"/>
          <w:szCs w:val="32"/>
        </w:rPr>
        <w:t>4</w:t>
      </w:r>
      <w:r>
        <w:rPr>
          <w:rFonts w:hint="eastAsia" w:ascii="仿宋_GB2312" w:eastAsia="仿宋_GB2312"/>
          <w:b w:val="0"/>
          <w:bCs w:val="0"/>
          <w:color w:val="000000"/>
          <w:sz w:val="32"/>
          <w:szCs w:val="32"/>
          <w:lang w:val="en-US" w:eastAsia="zh-CN"/>
        </w:rPr>
        <w:t>-</w:t>
      </w:r>
      <w:r>
        <w:rPr>
          <w:rFonts w:ascii="仿宋_GB2312" w:eastAsia="仿宋_GB2312"/>
          <w:b w:val="0"/>
          <w:bCs w:val="0"/>
          <w:color w:val="000000"/>
          <w:sz w:val="32"/>
          <w:szCs w:val="32"/>
        </w:rPr>
        <w:t>8</w:t>
      </w:r>
      <w:r>
        <w:rPr>
          <w:rFonts w:hint="eastAsia" w:ascii="仿宋_GB2312" w:eastAsia="仿宋_GB2312"/>
          <w:b w:val="0"/>
          <w:bCs w:val="0"/>
          <w:color w:val="000000"/>
          <w:sz w:val="32"/>
          <w:szCs w:val="32"/>
        </w:rPr>
        <w:t>层供给年纳税</w:t>
      </w:r>
      <w:r>
        <w:rPr>
          <w:rFonts w:ascii="仿宋_GB2312" w:eastAsia="仿宋_GB2312"/>
          <w:b w:val="0"/>
          <w:bCs w:val="0"/>
          <w:color w:val="000000"/>
          <w:sz w:val="32"/>
          <w:szCs w:val="32"/>
        </w:rPr>
        <w:t>50</w:t>
      </w:r>
      <w:r>
        <w:rPr>
          <w:rFonts w:hint="eastAsia" w:ascii="仿宋_GB2312" w:eastAsia="仿宋_GB2312"/>
          <w:b w:val="0"/>
          <w:bCs w:val="0"/>
          <w:color w:val="000000"/>
          <w:sz w:val="32"/>
          <w:szCs w:val="32"/>
        </w:rPr>
        <w:t>万元以上企业办公，其他楼</w:t>
      </w:r>
      <w:r>
        <w:rPr>
          <w:rFonts w:hint="eastAsia" w:ascii="仿宋_GB2312" w:hAnsi="仿宋" w:eastAsia="仿宋_GB2312"/>
          <w:b w:val="0"/>
          <w:bCs w:val="0"/>
          <w:color w:val="000000"/>
          <w:sz w:val="32"/>
          <w:szCs w:val="32"/>
        </w:rPr>
        <w:t>层供给年纳税</w:t>
      </w:r>
      <w:r>
        <w:rPr>
          <w:rFonts w:ascii="仿宋_GB2312" w:hAnsi="仿宋" w:eastAsia="仿宋_GB2312"/>
          <w:b w:val="0"/>
          <w:bCs w:val="0"/>
          <w:color w:val="000000"/>
          <w:sz w:val="32"/>
          <w:szCs w:val="32"/>
        </w:rPr>
        <w:t>100</w:t>
      </w:r>
      <w:r>
        <w:rPr>
          <w:rFonts w:hint="eastAsia" w:ascii="仿宋_GB2312" w:hAnsi="仿宋" w:eastAsia="仿宋_GB2312"/>
          <w:b w:val="0"/>
          <w:bCs w:val="0"/>
          <w:color w:val="000000"/>
          <w:sz w:val="32"/>
          <w:szCs w:val="32"/>
        </w:rPr>
        <w:t>万元以上企业</w:t>
      </w:r>
      <w:r>
        <w:rPr>
          <w:rFonts w:hint="eastAsia" w:ascii="仿宋_GB2312" w:eastAsia="仿宋_GB2312"/>
          <w:b w:val="0"/>
          <w:bCs w:val="0"/>
          <w:color w:val="000000"/>
          <w:sz w:val="32"/>
          <w:szCs w:val="32"/>
        </w:rPr>
        <w:t>办公。</w:t>
      </w:r>
      <w:r>
        <w:rPr>
          <w:rFonts w:hint="eastAsia" w:ascii="仿宋_GB2312" w:hAnsi="仿宋" w:eastAsia="仿宋_GB2312"/>
          <w:b w:val="0"/>
          <w:bCs w:val="0"/>
          <w:color w:val="000000"/>
          <w:sz w:val="32"/>
          <w:szCs w:val="32"/>
        </w:rPr>
        <w:t>同一资质等级的企业，自入驻区商务大楼开始，上两个年度纳税额累计数值高的企业优先选择楼房层次。</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hAnsi="仿宋" w:eastAsia="仿宋_GB2312"/>
          <w:b w:val="0"/>
          <w:bCs w:val="0"/>
          <w:color w:val="000000"/>
          <w:sz w:val="32"/>
          <w:szCs w:val="32"/>
        </w:rPr>
      </w:pPr>
      <w:r>
        <w:rPr>
          <w:rFonts w:ascii="仿宋_GB2312" w:hAnsi="仿宋" w:eastAsia="仿宋_GB2312"/>
          <w:b w:val="0"/>
          <w:bCs w:val="0"/>
          <w:color w:val="000000"/>
          <w:sz w:val="32"/>
          <w:szCs w:val="32"/>
        </w:rPr>
        <w:t>4.</w:t>
      </w:r>
      <w:r>
        <w:rPr>
          <w:rFonts w:hint="eastAsia" w:ascii="仿宋_GB2312" w:hAnsi="仿宋" w:eastAsia="仿宋_GB2312"/>
          <w:b w:val="0"/>
          <w:bCs w:val="0"/>
          <w:color w:val="000000"/>
          <w:sz w:val="32"/>
          <w:szCs w:val="32"/>
        </w:rPr>
        <w:t>优惠条件</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hAnsi="仿宋" w:eastAsia="仿宋_GB2312"/>
          <w:b w:val="0"/>
          <w:bCs w:val="0"/>
          <w:color w:val="000000"/>
          <w:sz w:val="32"/>
          <w:szCs w:val="32"/>
        </w:rPr>
      </w:pPr>
      <w:r>
        <w:rPr>
          <w:rFonts w:hint="eastAsia" w:ascii="仿宋_GB2312" w:hAnsi="仿宋" w:eastAsia="仿宋_GB2312"/>
          <w:b w:val="0"/>
          <w:bCs w:val="0"/>
          <w:color w:val="000000"/>
          <w:sz w:val="32"/>
          <w:szCs w:val="32"/>
        </w:rPr>
        <w:t>（</w:t>
      </w:r>
      <w:r>
        <w:rPr>
          <w:rFonts w:ascii="仿宋_GB2312" w:hAnsi="仿宋" w:eastAsia="仿宋_GB2312"/>
          <w:b w:val="0"/>
          <w:bCs w:val="0"/>
          <w:color w:val="000000"/>
          <w:sz w:val="32"/>
          <w:szCs w:val="32"/>
        </w:rPr>
        <w:t>1</w:t>
      </w:r>
      <w:r>
        <w:rPr>
          <w:rFonts w:hint="eastAsia" w:ascii="仿宋_GB2312" w:hAnsi="仿宋" w:eastAsia="仿宋_GB2312"/>
          <w:b w:val="0"/>
          <w:bCs w:val="0"/>
          <w:color w:val="000000"/>
          <w:sz w:val="32"/>
          <w:szCs w:val="32"/>
        </w:rPr>
        <w:t>）装修补助。对入驻区商务大楼的企业给予办公装修补助，补助金额为</w:t>
      </w:r>
      <w:r>
        <w:rPr>
          <w:rFonts w:ascii="仿宋_GB2312" w:hAnsi="仿宋" w:eastAsia="仿宋_GB2312"/>
          <w:b w:val="0"/>
          <w:bCs w:val="0"/>
          <w:color w:val="000000"/>
          <w:sz w:val="32"/>
          <w:szCs w:val="32"/>
        </w:rPr>
        <w:t>500</w:t>
      </w:r>
      <w:r>
        <w:rPr>
          <w:rFonts w:hint="eastAsia" w:ascii="仿宋_GB2312" w:hAnsi="仿宋" w:eastAsia="仿宋_GB2312"/>
          <w:b w:val="0"/>
          <w:bCs w:val="0"/>
          <w:color w:val="000000"/>
          <w:sz w:val="32"/>
          <w:szCs w:val="32"/>
        </w:rPr>
        <w:t>元</w:t>
      </w:r>
      <w:r>
        <w:rPr>
          <w:rFonts w:ascii="仿宋_GB2312" w:hAnsi="仿宋" w:eastAsia="仿宋_GB2312"/>
          <w:b w:val="0"/>
          <w:bCs w:val="0"/>
          <w:color w:val="000000"/>
          <w:sz w:val="32"/>
          <w:szCs w:val="32"/>
        </w:rPr>
        <w:t>/</w:t>
      </w:r>
      <w:r>
        <w:rPr>
          <w:rFonts w:hint="eastAsia" w:ascii="仿宋_GB2312" w:hAnsi="仿宋" w:eastAsia="仿宋_GB2312"/>
          <w:b w:val="0"/>
          <w:bCs w:val="0"/>
          <w:color w:val="000000"/>
          <w:sz w:val="32"/>
          <w:szCs w:val="32"/>
        </w:rPr>
        <w:t>平方米，补助面积不超过入驻办公面积。</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hAnsi="仿宋" w:eastAsia="仿宋_GB2312"/>
          <w:b w:val="0"/>
          <w:bCs w:val="0"/>
          <w:sz w:val="32"/>
          <w:szCs w:val="32"/>
        </w:rPr>
      </w:pPr>
      <w:r>
        <w:rPr>
          <w:rFonts w:hint="eastAsia" w:ascii="仿宋_GB2312" w:hAnsi="仿宋" w:eastAsia="仿宋_GB2312"/>
          <w:b w:val="0"/>
          <w:bCs w:val="0"/>
          <w:color w:val="000000"/>
          <w:sz w:val="32"/>
          <w:szCs w:val="32"/>
        </w:rPr>
        <w:t>（</w:t>
      </w:r>
      <w:r>
        <w:rPr>
          <w:rFonts w:ascii="仿宋_GB2312" w:hAnsi="仿宋" w:eastAsia="仿宋_GB2312"/>
          <w:b w:val="0"/>
          <w:bCs w:val="0"/>
          <w:color w:val="000000"/>
          <w:sz w:val="32"/>
          <w:szCs w:val="32"/>
        </w:rPr>
        <w:t>2</w:t>
      </w:r>
      <w:r>
        <w:rPr>
          <w:rFonts w:hint="eastAsia" w:ascii="仿宋_GB2312" w:hAnsi="仿宋" w:eastAsia="仿宋_GB2312"/>
          <w:b w:val="0"/>
          <w:bCs w:val="0"/>
          <w:color w:val="000000"/>
          <w:sz w:val="32"/>
          <w:szCs w:val="32"/>
        </w:rPr>
        <w:t>）购买房产补助。对入驻区商务大楼的企业，在本区纳</w:t>
      </w:r>
      <w:r>
        <w:rPr>
          <w:rFonts w:hint="eastAsia" w:ascii="仿宋_GB2312" w:hAnsi="仿宋" w:eastAsia="仿宋_GB2312"/>
          <w:b w:val="0"/>
          <w:bCs w:val="0"/>
          <w:sz w:val="32"/>
          <w:szCs w:val="32"/>
        </w:rPr>
        <w:t>税连续</w:t>
      </w:r>
      <w:r>
        <w:rPr>
          <w:rFonts w:ascii="仿宋_GB2312" w:hAnsi="仿宋" w:eastAsia="仿宋_GB2312"/>
          <w:b w:val="0"/>
          <w:bCs w:val="0"/>
          <w:sz w:val="32"/>
          <w:szCs w:val="32"/>
        </w:rPr>
        <w:t>4</w:t>
      </w:r>
      <w:r>
        <w:rPr>
          <w:rFonts w:hint="eastAsia" w:ascii="仿宋_GB2312" w:hAnsi="仿宋" w:eastAsia="仿宋_GB2312"/>
          <w:b w:val="0"/>
          <w:bCs w:val="0"/>
          <w:sz w:val="32"/>
          <w:szCs w:val="32"/>
        </w:rPr>
        <w:t>年累计达到以下条件：特级</w:t>
      </w:r>
      <w:r>
        <w:rPr>
          <w:rFonts w:hint="eastAsia" w:ascii="仿宋_GB2312" w:eastAsia="仿宋_GB2312"/>
          <w:b w:val="0"/>
          <w:bCs w:val="0"/>
          <w:sz w:val="32"/>
          <w:szCs w:val="32"/>
        </w:rPr>
        <w:t>总承包</w:t>
      </w:r>
      <w:r>
        <w:rPr>
          <w:rFonts w:hint="eastAsia" w:ascii="仿宋_GB2312" w:hAnsi="仿宋" w:eastAsia="仿宋_GB2312"/>
          <w:b w:val="0"/>
          <w:bCs w:val="0"/>
          <w:sz w:val="32"/>
          <w:szCs w:val="32"/>
        </w:rPr>
        <w:t>企业</w:t>
      </w:r>
      <w:r>
        <w:rPr>
          <w:rFonts w:ascii="仿宋_GB2312" w:hAnsi="仿宋" w:eastAsia="仿宋_GB2312"/>
          <w:b w:val="0"/>
          <w:bCs w:val="0"/>
          <w:sz w:val="32"/>
          <w:szCs w:val="32"/>
        </w:rPr>
        <w:t>2</w:t>
      </w:r>
      <w:r>
        <w:rPr>
          <w:rFonts w:hint="eastAsia" w:ascii="仿宋_GB2312" w:hAnsi="仿宋" w:eastAsia="仿宋_GB2312"/>
          <w:b w:val="0"/>
          <w:bCs w:val="0"/>
          <w:sz w:val="32"/>
          <w:szCs w:val="32"/>
        </w:rPr>
        <w:t>亿元，一级</w:t>
      </w:r>
      <w:r>
        <w:rPr>
          <w:rFonts w:hint="eastAsia" w:ascii="仿宋_GB2312" w:eastAsia="仿宋_GB2312"/>
          <w:b w:val="0"/>
          <w:bCs w:val="0"/>
          <w:sz w:val="32"/>
          <w:szCs w:val="32"/>
        </w:rPr>
        <w:t>总承包</w:t>
      </w:r>
      <w:r>
        <w:rPr>
          <w:rFonts w:hint="eastAsia" w:ascii="仿宋_GB2312" w:hAnsi="仿宋" w:eastAsia="仿宋_GB2312"/>
          <w:b w:val="0"/>
          <w:bCs w:val="0"/>
          <w:sz w:val="32"/>
          <w:szCs w:val="32"/>
        </w:rPr>
        <w:t>企业</w:t>
      </w:r>
      <w:r>
        <w:rPr>
          <w:rFonts w:ascii="仿宋_GB2312" w:hAnsi="仿宋" w:eastAsia="仿宋_GB2312"/>
          <w:b w:val="0"/>
          <w:bCs w:val="0"/>
          <w:sz w:val="32"/>
          <w:szCs w:val="32"/>
        </w:rPr>
        <w:t>5000</w:t>
      </w:r>
      <w:r>
        <w:rPr>
          <w:rFonts w:hint="eastAsia" w:ascii="仿宋_GB2312" w:hAnsi="仿宋" w:eastAsia="仿宋_GB2312"/>
          <w:b w:val="0"/>
          <w:bCs w:val="0"/>
          <w:sz w:val="32"/>
          <w:szCs w:val="32"/>
        </w:rPr>
        <w:t>万元，二级</w:t>
      </w:r>
      <w:r>
        <w:rPr>
          <w:rFonts w:hint="eastAsia" w:ascii="仿宋_GB2312" w:eastAsia="仿宋_GB2312"/>
          <w:b w:val="0"/>
          <w:bCs w:val="0"/>
          <w:sz w:val="32"/>
          <w:szCs w:val="32"/>
        </w:rPr>
        <w:t>总承包</w:t>
      </w:r>
      <w:r>
        <w:rPr>
          <w:rFonts w:hint="eastAsia" w:ascii="仿宋_GB2312" w:hAnsi="仿宋" w:eastAsia="仿宋_GB2312"/>
          <w:b w:val="0"/>
          <w:bCs w:val="0"/>
          <w:sz w:val="32"/>
          <w:szCs w:val="32"/>
        </w:rPr>
        <w:t>企业</w:t>
      </w:r>
      <w:r>
        <w:rPr>
          <w:rFonts w:ascii="仿宋_GB2312" w:hAnsi="仿宋" w:eastAsia="仿宋_GB2312"/>
          <w:b w:val="0"/>
          <w:bCs w:val="0"/>
          <w:sz w:val="32"/>
          <w:szCs w:val="32"/>
        </w:rPr>
        <w:t>3000</w:t>
      </w:r>
      <w:r>
        <w:rPr>
          <w:rFonts w:hint="eastAsia" w:ascii="仿宋_GB2312" w:hAnsi="仿宋" w:eastAsia="仿宋_GB2312"/>
          <w:b w:val="0"/>
          <w:bCs w:val="0"/>
          <w:sz w:val="32"/>
          <w:szCs w:val="32"/>
        </w:rPr>
        <w:t>万元，支持企业按</w:t>
      </w:r>
      <w:r>
        <w:rPr>
          <w:rFonts w:ascii="仿宋_GB2312" w:hAnsi="仿宋" w:eastAsia="仿宋_GB2312"/>
          <w:b w:val="0"/>
          <w:bCs w:val="0"/>
          <w:sz w:val="32"/>
          <w:szCs w:val="32"/>
        </w:rPr>
        <w:t>8500</w:t>
      </w:r>
      <w:r>
        <w:rPr>
          <w:rFonts w:hint="eastAsia" w:ascii="仿宋_GB2312" w:hAnsi="仿宋" w:eastAsia="仿宋_GB2312"/>
          <w:b w:val="0"/>
          <w:bCs w:val="0"/>
          <w:sz w:val="32"/>
          <w:szCs w:val="32"/>
        </w:rPr>
        <w:t>元</w:t>
      </w:r>
      <w:r>
        <w:rPr>
          <w:rFonts w:ascii="仿宋_GB2312" w:hAnsi="仿宋" w:eastAsia="仿宋_GB2312"/>
          <w:b w:val="0"/>
          <w:bCs w:val="0"/>
          <w:sz w:val="32"/>
          <w:szCs w:val="32"/>
        </w:rPr>
        <w:t>/</w:t>
      </w:r>
      <w:r>
        <w:rPr>
          <w:rFonts w:hint="eastAsia" w:ascii="仿宋_GB2312" w:hAnsi="仿宋" w:eastAsia="仿宋_GB2312"/>
          <w:b w:val="0"/>
          <w:bCs w:val="0"/>
          <w:sz w:val="32"/>
          <w:szCs w:val="32"/>
          <w:lang w:val="en-US" w:eastAsia="zh-CN"/>
        </w:rPr>
        <w:t>平方米</w:t>
      </w:r>
      <w:r>
        <w:rPr>
          <w:rFonts w:hint="eastAsia" w:ascii="仿宋_GB2312" w:hAnsi="仿宋" w:eastAsia="仿宋_GB2312"/>
          <w:b w:val="0"/>
          <w:bCs w:val="0"/>
          <w:sz w:val="32"/>
          <w:szCs w:val="32"/>
        </w:rPr>
        <w:t>的价格购买区商务大楼办公用房，购买面积不超过企业在区商务大楼办公面积。自购买办公用房之日起</w:t>
      </w:r>
      <w:r>
        <w:rPr>
          <w:rFonts w:ascii="仿宋_GB2312" w:hAnsi="仿宋" w:eastAsia="仿宋_GB2312"/>
          <w:b w:val="0"/>
          <w:bCs w:val="0"/>
          <w:sz w:val="32"/>
          <w:szCs w:val="32"/>
        </w:rPr>
        <w:t>10</w:t>
      </w:r>
      <w:r>
        <w:rPr>
          <w:rFonts w:hint="eastAsia" w:ascii="仿宋_GB2312" w:hAnsi="仿宋" w:eastAsia="仿宋_GB2312"/>
          <w:b w:val="0"/>
          <w:bCs w:val="0"/>
          <w:sz w:val="32"/>
          <w:szCs w:val="32"/>
        </w:rPr>
        <w:t>年内不得转租、出售，若发现企业有转租、出售行为，</w:t>
      </w:r>
      <w:r>
        <w:rPr>
          <w:rFonts w:ascii="仿宋_GB2312" w:hAnsi="仿宋" w:eastAsia="仿宋_GB2312"/>
          <w:b w:val="0"/>
          <w:bCs w:val="0"/>
          <w:sz w:val="32"/>
          <w:szCs w:val="32"/>
        </w:rPr>
        <w:tab/>
      </w:r>
      <w:r>
        <w:rPr>
          <w:rFonts w:hint="eastAsia" w:ascii="仿宋_GB2312" w:hAnsi="仿宋" w:eastAsia="仿宋_GB2312"/>
          <w:b w:val="0"/>
          <w:bCs w:val="0"/>
          <w:sz w:val="32"/>
          <w:szCs w:val="32"/>
        </w:rPr>
        <w:t>区政府按照</w:t>
      </w:r>
      <w:r>
        <w:rPr>
          <w:rFonts w:ascii="仿宋_GB2312" w:hAnsi="仿宋" w:eastAsia="仿宋_GB2312"/>
          <w:b w:val="0"/>
          <w:bCs w:val="0"/>
          <w:sz w:val="32"/>
          <w:szCs w:val="32"/>
        </w:rPr>
        <w:t>8500</w:t>
      </w:r>
      <w:r>
        <w:rPr>
          <w:rFonts w:hint="eastAsia" w:ascii="仿宋_GB2312" w:hAnsi="仿宋" w:eastAsia="仿宋_GB2312"/>
          <w:b w:val="0"/>
          <w:bCs w:val="0"/>
          <w:sz w:val="32"/>
          <w:szCs w:val="32"/>
        </w:rPr>
        <w:t>元</w:t>
      </w:r>
      <w:r>
        <w:rPr>
          <w:rFonts w:ascii="仿宋_GB2312" w:hAnsi="仿宋" w:eastAsia="仿宋_GB2312"/>
          <w:b w:val="0"/>
          <w:bCs w:val="0"/>
          <w:sz w:val="32"/>
          <w:szCs w:val="32"/>
        </w:rPr>
        <w:t>/</w:t>
      </w:r>
      <w:r>
        <w:rPr>
          <w:rFonts w:hint="eastAsia" w:ascii="仿宋_GB2312" w:hAnsi="仿宋" w:eastAsia="仿宋_GB2312"/>
          <w:b w:val="0"/>
          <w:bCs w:val="0"/>
          <w:sz w:val="32"/>
          <w:szCs w:val="32"/>
          <w:lang w:val="en-US" w:eastAsia="zh-CN"/>
        </w:rPr>
        <w:t>平方米</w:t>
      </w:r>
      <w:r>
        <w:rPr>
          <w:rFonts w:hint="eastAsia" w:ascii="仿宋_GB2312" w:hAnsi="仿宋" w:eastAsia="仿宋_GB2312"/>
          <w:b w:val="0"/>
          <w:bCs w:val="0"/>
          <w:sz w:val="32"/>
          <w:szCs w:val="32"/>
        </w:rPr>
        <w:t>的价格收回企业在区商务大楼的办公用房。</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hAnsi="仿宋" w:eastAsia="仿宋_GB2312"/>
          <w:b w:val="0"/>
          <w:bCs w:val="0"/>
          <w:color w:val="000000"/>
          <w:sz w:val="32"/>
          <w:szCs w:val="32"/>
        </w:rPr>
      </w:pPr>
      <w:r>
        <w:rPr>
          <w:rFonts w:hint="eastAsia" w:ascii="仿宋_GB2312" w:hAnsi="仿宋" w:eastAsia="仿宋_GB2312"/>
          <w:b w:val="0"/>
          <w:bCs w:val="0"/>
          <w:color w:val="000000"/>
          <w:sz w:val="32"/>
          <w:szCs w:val="32"/>
        </w:rPr>
        <w:t>（</w:t>
      </w:r>
      <w:r>
        <w:rPr>
          <w:rFonts w:ascii="仿宋_GB2312" w:hAnsi="仿宋" w:eastAsia="仿宋_GB2312"/>
          <w:b w:val="0"/>
          <w:bCs w:val="0"/>
          <w:color w:val="000000"/>
          <w:sz w:val="32"/>
          <w:szCs w:val="32"/>
        </w:rPr>
        <w:t>3</w:t>
      </w:r>
      <w:r>
        <w:rPr>
          <w:rFonts w:hint="eastAsia" w:ascii="仿宋_GB2312" w:hAnsi="仿宋" w:eastAsia="仿宋_GB2312"/>
          <w:b w:val="0"/>
          <w:bCs w:val="0"/>
          <w:color w:val="000000"/>
          <w:sz w:val="32"/>
          <w:szCs w:val="32"/>
        </w:rPr>
        <w:t>）物业优惠。入驻区商务大楼的企业</w:t>
      </w:r>
      <w:r>
        <w:rPr>
          <w:rFonts w:hint="eastAsia" w:ascii="仿宋_GB2312" w:hAnsi="仿宋" w:eastAsia="仿宋_GB2312"/>
          <w:b w:val="0"/>
          <w:bCs w:val="0"/>
          <w:sz w:val="32"/>
          <w:szCs w:val="32"/>
        </w:rPr>
        <w:t>按市场价</w:t>
      </w:r>
      <w:r>
        <w:rPr>
          <w:rFonts w:hint="eastAsia" w:ascii="仿宋_GB2312" w:hAnsi="仿宋" w:eastAsia="仿宋_GB2312"/>
          <w:b w:val="0"/>
          <w:bCs w:val="0"/>
          <w:color w:val="000000"/>
          <w:sz w:val="32"/>
          <w:szCs w:val="32"/>
        </w:rPr>
        <w:t>缴纳物业管理费</w:t>
      </w:r>
      <w:r>
        <w:rPr>
          <w:rFonts w:hint="eastAsia" w:ascii="仿宋_GB2312" w:hAnsi="仿宋" w:eastAsia="仿宋_GB2312"/>
          <w:b w:val="0"/>
          <w:bCs w:val="0"/>
          <w:sz w:val="32"/>
          <w:szCs w:val="32"/>
        </w:rPr>
        <w:t>。区住建局牵头组织区直职能部门对入驻企业每年度纳税额</w:t>
      </w:r>
      <w:r>
        <w:rPr>
          <w:rFonts w:hint="eastAsia" w:ascii="仿宋_GB2312" w:hAnsi="仿宋" w:eastAsia="仿宋_GB2312"/>
          <w:b w:val="0"/>
          <w:bCs w:val="0"/>
          <w:color w:val="000000"/>
          <w:sz w:val="32"/>
          <w:szCs w:val="32"/>
        </w:rPr>
        <w:t>和办公区卫生保洁等情况进行考评，考评达标的企业，按企业当年度缴纳物业费的</w:t>
      </w:r>
      <w:r>
        <w:rPr>
          <w:rFonts w:ascii="仿宋_GB2312" w:hAnsi="仿宋" w:eastAsia="仿宋_GB2312"/>
          <w:b w:val="0"/>
          <w:bCs w:val="0"/>
          <w:color w:val="000000"/>
          <w:sz w:val="32"/>
          <w:szCs w:val="32"/>
        </w:rPr>
        <w:t>50%</w:t>
      </w:r>
      <w:r>
        <w:rPr>
          <w:rFonts w:hint="eastAsia" w:ascii="仿宋_GB2312" w:hAnsi="仿宋" w:eastAsia="仿宋_GB2312"/>
          <w:b w:val="0"/>
          <w:bCs w:val="0"/>
          <w:color w:val="000000"/>
          <w:sz w:val="32"/>
          <w:szCs w:val="32"/>
        </w:rPr>
        <w:t>予以补助。若发现入驻企业办公用房有</w:t>
      </w:r>
      <w:r>
        <w:rPr>
          <w:rFonts w:hint="eastAsia" w:ascii="仿宋_GB2312" w:hAnsi="仿宋" w:eastAsia="仿宋_GB2312"/>
          <w:b w:val="0"/>
          <w:bCs w:val="0"/>
          <w:sz w:val="32"/>
          <w:szCs w:val="32"/>
        </w:rPr>
        <w:t>转租等</w:t>
      </w:r>
      <w:r>
        <w:rPr>
          <w:rFonts w:hint="eastAsia" w:ascii="仿宋_GB2312" w:hAnsi="仿宋" w:eastAsia="仿宋_GB2312"/>
          <w:b w:val="0"/>
          <w:bCs w:val="0"/>
          <w:color w:val="000000"/>
          <w:sz w:val="32"/>
          <w:szCs w:val="32"/>
        </w:rPr>
        <w:t>行为，取消物业优惠补助。</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hAnsi="仿宋" w:eastAsia="仿宋_GB2312"/>
          <w:b w:val="0"/>
          <w:bCs w:val="0"/>
          <w:color w:val="000000"/>
          <w:sz w:val="32"/>
          <w:szCs w:val="32"/>
        </w:rPr>
      </w:pPr>
      <w:r>
        <w:rPr>
          <w:rFonts w:hint="eastAsia" w:ascii="仿宋_GB2312" w:hAnsi="仿宋" w:eastAsia="仿宋_GB2312"/>
          <w:b w:val="0"/>
          <w:bCs w:val="0"/>
          <w:color w:val="000000"/>
          <w:sz w:val="32"/>
          <w:szCs w:val="32"/>
          <w:lang w:val="en-US" w:eastAsia="zh-CN"/>
        </w:rPr>
        <w:t>5</w:t>
      </w:r>
      <w:r>
        <w:rPr>
          <w:rFonts w:ascii="仿宋_GB2312" w:hAnsi="仿宋" w:eastAsia="仿宋_GB2312"/>
          <w:b w:val="0"/>
          <w:bCs w:val="0"/>
          <w:color w:val="000000"/>
          <w:sz w:val="32"/>
          <w:szCs w:val="32"/>
        </w:rPr>
        <w:t>.</w:t>
      </w:r>
      <w:r>
        <w:rPr>
          <w:rFonts w:hint="eastAsia" w:ascii="仿宋_GB2312" w:hAnsi="仿宋" w:eastAsia="仿宋_GB2312"/>
          <w:b w:val="0"/>
          <w:bCs w:val="0"/>
          <w:color w:val="000000"/>
          <w:sz w:val="32"/>
          <w:szCs w:val="32"/>
        </w:rPr>
        <w:t>配套服务</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eastAsia="仿宋_GB2312"/>
          <w:b w:val="0"/>
          <w:bCs w:val="0"/>
          <w:color w:val="000000"/>
          <w:sz w:val="32"/>
          <w:szCs w:val="32"/>
        </w:rPr>
      </w:pPr>
      <w:r>
        <w:rPr>
          <w:rFonts w:hint="eastAsia" w:ascii="仿宋_GB2312" w:hAnsi="仿宋" w:eastAsia="仿宋_GB2312"/>
          <w:b w:val="0"/>
          <w:bCs w:val="0"/>
          <w:color w:val="000000"/>
          <w:sz w:val="32"/>
          <w:szCs w:val="32"/>
        </w:rPr>
        <w:t>（</w:t>
      </w:r>
      <w:r>
        <w:rPr>
          <w:rFonts w:ascii="仿宋_GB2312" w:hAnsi="仿宋" w:eastAsia="仿宋_GB2312"/>
          <w:b w:val="0"/>
          <w:bCs w:val="0"/>
          <w:color w:val="000000"/>
          <w:sz w:val="32"/>
          <w:szCs w:val="32"/>
        </w:rPr>
        <w:t>1</w:t>
      </w:r>
      <w:r>
        <w:rPr>
          <w:rFonts w:hint="eastAsia" w:ascii="仿宋_GB2312" w:hAnsi="仿宋" w:eastAsia="仿宋_GB2312"/>
          <w:b w:val="0"/>
          <w:bCs w:val="0"/>
          <w:color w:val="000000"/>
          <w:sz w:val="32"/>
          <w:szCs w:val="32"/>
        </w:rPr>
        <w:t>）公共区域。</w:t>
      </w:r>
      <w:r>
        <w:rPr>
          <w:rFonts w:hint="eastAsia" w:ascii="仿宋_GB2312" w:eastAsia="仿宋_GB2312"/>
          <w:b w:val="0"/>
          <w:bCs w:val="0"/>
          <w:color w:val="000000"/>
          <w:sz w:val="32"/>
          <w:szCs w:val="32"/>
        </w:rPr>
        <w:t>区商务大楼两层地下室、一楼大厅、二楼食堂、三楼会议室和各楼层楼梯间（含电梯间）、卫生间、中央空调等公共区域由区政府统一装修。</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hAnsi="仿宋" w:eastAsia="仿宋_GB2312"/>
          <w:b w:val="0"/>
          <w:bCs w:val="0"/>
          <w:color w:val="000000"/>
          <w:sz w:val="32"/>
          <w:szCs w:val="32"/>
        </w:rPr>
      </w:pPr>
      <w:r>
        <w:rPr>
          <w:rFonts w:hint="eastAsia" w:ascii="仿宋_GB2312" w:eastAsia="仿宋_GB2312"/>
          <w:b w:val="0"/>
          <w:bCs w:val="0"/>
          <w:color w:val="000000"/>
          <w:sz w:val="32"/>
          <w:szCs w:val="32"/>
        </w:rPr>
        <w:t>（</w:t>
      </w:r>
      <w:r>
        <w:rPr>
          <w:rFonts w:ascii="仿宋_GB2312" w:eastAsia="仿宋_GB2312"/>
          <w:b w:val="0"/>
          <w:bCs w:val="0"/>
          <w:color w:val="000000"/>
          <w:sz w:val="32"/>
          <w:szCs w:val="32"/>
        </w:rPr>
        <w:t>2</w:t>
      </w:r>
      <w:r>
        <w:rPr>
          <w:rFonts w:hint="eastAsia" w:ascii="仿宋_GB2312" w:eastAsia="仿宋_GB2312"/>
          <w:b w:val="0"/>
          <w:bCs w:val="0"/>
          <w:color w:val="000000"/>
          <w:sz w:val="32"/>
          <w:szCs w:val="32"/>
        </w:rPr>
        <w:t>）后勤保障。在区商务大楼设立综合管理办公室，为入驻企业办理相关业务。一楼大厅</w:t>
      </w:r>
      <w:r>
        <w:rPr>
          <w:rFonts w:hint="eastAsia" w:ascii="仿宋_GB2312" w:hAnsi="仿宋" w:eastAsia="仿宋_GB2312"/>
          <w:b w:val="0"/>
          <w:bCs w:val="0"/>
          <w:color w:val="000000"/>
          <w:sz w:val="32"/>
          <w:szCs w:val="32"/>
        </w:rPr>
        <w:t>设置学习吧和休息区，供客户阅读和休息使用；二</w:t>
      </w:r>
      <w:r>
        <w:rPr>
          <w:rFonts w:hint="eastAsia" w:ascii="仿宋_GB2312" w:eastAsia="仿宋_GB2312"/>
          <w:b w:val="0"/>
          <w:bCs w:val="0"/>
          <w:color w:val="000000"/>
          <w:sz w:val="32"/>
          <w:szCs w:val="32"/>
        </w:rPr>
        <w:t>楼</w:t>
      </w:r>
      <w:r>
        <w:rPr>
          <w:rFonts w:hint="eastAsia" w:ascii="仿宋_GB2312" w:hAnsi="仿宋" w:eastAsia="仿宋_GB2312"/>
          <w:b w:val="0"/>
          <w:bCs w:val="0"/>
          <w:color w:val="000000"/>
          <w:sz w:val="32"/>
          <w:szCs w:val="32"/>
        </w:rPr>
        <w:t>设置食堂，方便</w:t>
      </w:r>
      <w:r>
        <w:rPr>
          <w:rFonts w:hint="eastAsia" w:ascii="仿宋_GB2312" w:hAnsi="仿宋" w:eastAsia="仿宋_GB2312"/>
          <w:b w:val="0"/>
          <w:bCs w:val="0"/>
          <w:color w:val="000000"/>
          <w:sz w:val="32"/>
          <w:szCs w:val="32"/>
          <w:lang w:eastAsia="zh-CN"/>
        </w:rPr>
        <w:t>入</w:t>
      </w:r>
      <w:r>
        <w:rPr>
          <w:rFonts w:hint="eastAsia" w:ascii="仿宋_GB2312" w:hAnsi="仿宋" w:eastAsia="仿宋_GB2312"/>
          <w:b w:val="0"/>
          <w:bCs w:val="0"/>
          <w:color w:val="000000"/>
          <w:sz w:val="32"/>
          <w:szCs w:val="32"/>
        </w:rPr>
        <w:t>驻企业员工就餐；三楼设置大、中、小会议室，供入驻企业预约使用。</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eastAsia="仿宋_GB2312"/>
          <w:b w:val="0"/>
          <w:bCs w:val="0"/>
          <w:sz w:val="32"/>
          <w:szCs w:val="32"/>
        </w:rPr>
      </w:pPr>
      <w:r>
        <w:rPr>
          <w:rFonts w:hint="eastAsia" w:ascii="仿宋_GB2312" w:hAnsi="仿宋" w:eastAsia="仿宋_GB2312"/>
          <w:b w:val="0"/>
          <w:bCs w:val="0"/>
          <w:color w:val="000000"/>
          <w:sz w:val="32"/>
          <w:szCs w:val="32"/>
        </w:rPr>
        <w:t>（</w:t>
      </w:r>
      <w:r>
        <w:rPr>
          <w:rFonts w:ascii="仿宋_GB2312" w:hAnsi="仿宋" w:eastAsia="仿宋_GB2312"/>
          <w:b w:val="0"/>
          <w:bCs w:val="0"/>
          <w:color w:val="000000"/>
          <w:sz w:val="32"/>
          <w:szCs w:val="32"/>
        </w:rPr>
        <w:t>3</w:t>
      </w:r>
      <w:r>
        <w:rPr>
          <w:rFonts w:hint="eastAsia" w:ascii="仿宋_GB2312" w:hAnsi="仿宋" w:eastAsia="仿宋_GB2312"/>
          <w:b w:val="0"/>
          <w:bCs w:val="0"/>
          <w:color w:val="000000"/>
          <w:sz w:val="32"/>
          <w:szCs w:val="32"/>
        </w:rPr>
        <w:t>）</w:t>
      </w:r>
      <w:r>
        <w:rPr>
          <w:rFonts w:hint="eastAsia" w:ascii="仿宋_GB2312" w:hAnsi="仿宋" w:eastAsia="仿宋_GB2312"/>
          <w:b w:val="0"/>
          <w:bCs w:val="0"/>
          <w:sz w:val="32"/>
          <w:szCs w:val="32"/>
        </w:rPr>
        <w:t>免费停车。</w:t>
      </w:r>
      <w:r>
        <w:rPr>
          <w:rFonts w:hint="eastAsia" w:ascii="仿宋_GB2312" w:eastAsia="仿宋_GB2312"/>
          <w:b w:val="0"/>
          <w:bCs w:val="0"/>
          <w:sz w:val="32"/>
          <w:szCs w:val="32"/>
        </w:rPr>
        <w:t>对入驻企业免费开通不高于以下数量机动车停车智能卡：特级总承包企业</w:t>
      </w:r>
      <w:r>
        <w:rPr>
          <w:rFonts w:ascii="仿宋_GB2312" w:eastAsia="仿宋_GB2312"/>
          <w:b w:val="0"/>
          <w:bCs w:val="0"/>
          <w:sz w:val="32"/>
          <w:szCs w:val="32"/>
        </w:rPr>
        <w:t>12</w:t>
      </w:r>
      <w:r>
        <w:rPr>
          <w:rFonts w:hint="eastAsia" w:ascii="仿宋_GB2312" w:eastAsia="仿宋_GB2312"/>
          <w:b w:val="0"/>
          <w:bCs w:val="0"/>
          <w:sz w:val="32"/>
          <w:szCs w:val="32"/>
        </w:rPr>
        <w:t>张，一级总承包企业（含甲级勘察、设计、监理或综合检测资质的企业）</w:t>
      </w:r>
      <w:r>
        <w:rPr>
          <w:rFonts w:ascii="仿宋_GB2312" w:eastAsia="仿宋_GB2312"/>
          <w:b w:val="0"/>
          <w:bCs w:val="0"/>
          <w:sz w:val="32"/>
          <w:szCs w:val="32"/>
        </w:rPr>
        <w:t>8</w:t>
      </w:r>
      <w:r>
        <w:rPr>
          <w:rFonts w:hint="eastAsia" w:ascii="仿宋_GB2312" w:eastAsia="仿宋_GB2312"/>
          <w:b w:val="0"/>
          <w:bCs w:val="0"/>
          <w:sz w:val="32"/>
          <w:szCs w:val="32"/>
        </w:rPr>
        <w:t>张，二级总承包企业</w:t>
      </w:r>
      <w:r>
        <w:rPr>
          <w:rFonts w:ascii="仿宋_GB2312" w:eastAsia="仿宋_GB2312"/>
          <w:b w:val="0"/>
          <w:bCs w:val="0"/>
          <w:sz w:val="32"/>
          <w:szCs w:val="32"/>
        </w:rPr>
        <w:t>5</w:t>
      </w:r>
      <w:r>
        <w:rPr>
          <w:rFonts w:hint="eastAsia" w:ascii="仿宋_GB2312" w:eastAsia="仿宋_GB2312"/>
          <w:b w:val="0"/>
          <w:bCs w:val="0"/>
          <w:sz w:val="32"/>
          <w:szCs w:val="32"/>
        </w:rPr>
        <w:t>张，三级</w:t>
      </w:r>
      <w:r>
        <w:rPr>
          <w:rFonts w:hint="eastAsia" w:ascii="仿宋_GB2312" w:eastAsia="仿宋_GB2312"/>
          <w:b w:val="0"/>
          <w:bCs w:val="0"/>
          <w:sz w:val="32"/>
          <w:szCs w:val="32"/>
          <w:lang w:eastAsia="zh-CN"/>
        </w:rPr>
        <w:t>总承包企业</w:t>
      </w:r>
      <w:r>
        <w:rPr>
          <w:rFonts w:hint="eastAsia" w:ascii="仿宋_GB2312" w:eastAsia="仿宋_GB2312"/>
          <w:b w:val="0"/>
          <w:bCs w:val="0"/>
          <w:sz w:val="32"/>
          <w:szCs w:val="32"/>
        </w:rPr>
        <w:t>和其他企业</w:t>
      </w:r>
      <w:r>
        <w:rPr>
          <w:rFonts w:ascii="仿宋_GB2312" w:eastAsia="仿宋_GB2312"/>
          <w:b w:val="0"/>
          <w:bCs w:val="0"/>
          <w:sz w:val="32"/>
          <w:szCs w:val="32"/>
        </w:rPr>
        <w:t>3</w:t>
      </w:r>
      <w:r>
        <w:rPr>
          <w:rFonts w:hint="eastAsia" w:ascii="仿宋_GB2312" w:eastAsia="仿宋_GB2312"/>
          <w:b w:val="0"/>
          <w:bCs w:val="0"/>
          <w:sz w:val="32"/>
          <w:szCs w:val="32"/>
        </w:rPr>
        <w:t>张。</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hAnsi="仿宋" w:eastAsia="仿宋_GB2312"/>
          <w:b w:val="0"/>
          <w:bCs w:val="0"/>
          <w:color w:val="000000"/>
          <w:sz w:val="32"/>
          <w:szCs w:val="32"/>
        </w:rPr>
      </w:pPr>
      <w:r>
        <w:rPr>
          <w:rFonts w:hint="eastAsia" w:ascii="楷体" w:hAnsi="楷体" w:eastAsia="楷体" w:cs="楷体"/>
          <w:b w:val="0"/>
          <w:bCs w:val="0"/>
          <w:color w:val="000000"/>
          <w:sz w:val="32"/>
          <w:szCs w:val="32"/>
        </w:rPr>
        <w:t>（二）建立建筑业装配式产业园。</w:t>
      </w:r>
      <w:r>
        <w:rPr>
          <w:rFonts w:hint="eastAsia" w:ascii="仿宋_GB2312" w:hAnsi="仿宋" w:eastAsia="仿宋_GB2312"/>
          <w:b w:val="0"/>
          <w:bCs w:val="0"/>
          <w:color w:val="000000"/>
          <w:sz w:val="32"/>
          <w:szCs w:val="32"/>
        </w:rPr>
        <w:t>引导区属龙头建筑业和赛博思钢结构公司等企业进行合作，在太湖园区建设建筑装配式生产基地，近期内规划产值百亿元。</w:t>
      </w:r>
    </w:p>
    <w:p>
      <w:pPr>
        <w:widowControl w:val="0"/>
        <w:wordWrap/>
        <w:adjustRightInd w:val="0"/>
        <w:snapToGrid w:val="0"/>
        <w:spacing w:before="0" w:after="0" w:line="336" w:lineRule="auto"/>
        <w:ind w:left="0" w:leftChars="0" w:right="0" w:firstLine="640" w:firstLineChars="200"/>
        <w:jc w:val="both"/>
        <w:textAlignment w:val="auto"/>
        <w:outlineLvl w:val="9"/>
        <w:rPr>
          <w:rFonts w:ascii="黑体" w:hAnsi="黑体" w:eastAsia="黑体" w:cs="黑体"/>
          <w:b w:val="0"/>
          <w:bCs w:val="0"/>
          <w:color w:val="000000"/>
          <w:sz w:val="32"/>
          <w:szCs w:val="32"/>
        </w:rPr>
      </w:pPr>
      <w:r>
        <w:rPr>
          <w:rFonts w:hint="eastAsia" w:ascii="黑体" w:hAnsi="黑体" w:eastAsia="黑体" w:cs="黑体"/>
          <w:b w:val="0"/>
          <w:bCs w:val="0"/>
          <w:color w:val="000000"/>
          <w:sz w:val="32"/>
          <w:szCs w:val="32"/>
        </w:rPr>
        <w:t>五、积极财政扶持政策</w:t>
      </w:r>
    </w:p>
    <w:p>
      <w:pPr>
        <w:widowControl w:val="0"/>
        <w:wordWrap/>
        <w:adjustRightInd w:val="0"/>
        <w:snapToGrid w:val="0"/>
        <w:spacing w:before="0" w:after="0" w:line="336" w:lineRule="auto"/>
        <w:ind w:left="0" w:leftChars="0" w:right="0" w:firstLine="640" w:firstLineChars="200"/>
        <w:jc w:val="both"/>
        <w:textAlignment w:val="auto"/>
        <w:outlineLvl w:val="9"/>
        <w:rPr>
          <w:rFonts w:ascii="楷体" w:hAnsi="楷体" w:eastAsia="楷体" w:cs="楷体"/>
          <w:b w:val="0"/>
          <w:bCs w:val="0"/>
          <w:color w:val="000000"/>
          <w:sz w:val="32"/>
          <w:szCs w:val="32"/>
        </w:rPr>
      </w:pPr>
      <w:r>
        <w:rPr>
          <w:rFonts w:hint="eastAsia" w:ascii="楷体" w:hAnsi="楷体" w:eastAsia="楷体" w:cs="楷体"/>
          <w:b w:val="0"/>
          <w:bCs w:val="0"/>
          <w:color w:val="000000"/>
          <w:sz w:val="32"/>
          <w:szCs w:val="32"/>
        </w:rPr>
        <w:t>（一）新增税收贡献奖</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hAnsi="仿宋" w:eastAsia="仿宋_GB2312"/>
          <w:b w:val="0"/>
          <w:bCs w:val="0"/>
          <w:color w:val="000000"/>
          <w:sz w:val="32"/>
          <w:szCs w:val="32"/>
        </w:rPr>
      </w:pPr>
      <w:r>
        <w:rPr>
          <w:rFonts w:hint="eastAsia" w:ascii="仿宋_GB2312" w:hAnsi="仿宋" w:eastAsia="仿宋_GB2312"/>
          <w:b w:val="0"/>
          <w:bCs w:val="0"/>
          <w:color w:val="000000"/>
          <w:sz w:val="32"/>
          <w:szCs w:val="32"/>
        </w:rPr>
        <w:t>对注册地在本区的企业，上一年度在本区纳税</w:t>
      </w:r>
      <w:r>
        <w:rPr>
          <w:rFonts w:ascii="仿宋_GB2312" w:hAnsi="仿宋" w:eastAsia="仿宋_GB2312"/>
          <w:b w:val="0"/>
          <w:bCs w:val="0"/>
          <w:color w:val="000000"/>
          <w:sz w:val="32"/>
          <w:szCs w:val="32"/>
        </w:rPr>
        <w:t>300</w:t>
      </w:r>
      <w:r>
        <w:rPr>
          <w:rFonts w:hint="eastAsia" w:ascii="仿宋_GB2312" w:hAnsi="仿宋" w:eastAsia="仿宋_GB2312"/>
          <w:b w:val="0"/>
          <w:bCs w:val="0"/>
          <w:color w:val="000000"/>
          <w:sz w:val="32"/>
          <w:szCs w:val="32"/>
        </w:rPr>
        <w:t>万元及以上且年度环比新增税收</w:t>
      </w:r>
      <w:r>
        <w:rPr>
          <w:rFonts w:ascii="仿宋_GB2312" w:hAnsi="仿宋" w:eastAsia="仿宋_GB2312"/>
          <w:b w:val="0"/>
          <w:bCs w:val="0"/>
          <w:color w:val="000000"/>
          <w:sz w:val="32"/>
          <w:szCs w:val="32"/>
        </w:rPr>
        <w:t>10%</w:t>
      </w:r>
      <w:r>
        <w:rPr>
          <w:rFonts w:hint="eastAsia" w:ascii="仿宋_GB2312" w:hAnsi="仿宋" w:eastAsia="仿宋_GB2312"/>
          <w:b w:val="0"/>
          <w:bCs w:val="0"/>
          <w:color w:val="000000"/>
          <w:sz w:val="32"/>
          <w:szCs w:val="32"/>
        </w:rPr>
        <w:t>及以上的，可按企业缴纳增值税和企业所得税增量部分构成区级留成</w:t>
      </w:r>
      <w:r>
        <w:rPr>
          <w:rFonts w:hint="eastAsia" w:ascii="仿宋_GB2312" w:hAnsi="仿宋" w:eastAsia="仿宋_GB2312"/>
          <w:b w:val="0"/>
          <w:bCs w:val="0"/>
          <w:color w:val="000000"/>
          <w:sz w:val="32"/>
          <w:szCs w:val="32"/>
          <w:lang w:val="en-US" w:eastAsia="zh-CN"/>
        </w:rPr>
        <w:t>部分</w:t>
      </w:r>
      <w:r>
        <w:rPr>
          <w:rFonts w:hint="eastAsia" w:ascii="仿宋_GB2312" w:hAnsi="仿宋" w:eastAsia="仿宋_GB2312"/>
          <w:b w:val="0"/>
          <w:bCs w:val="0"/>
          <w:color w:val="000000"/>
          <w:sz w:val="32"/>
          <w:szCs w:val="32"/>
        </w:rPr>
        <w:t>的</w:t>
      </w:r>
      <w:r>
        <w:rPr>
          <w:rFonts w:ascii="仿宋_GB2312" w:hAnsi="仿宋" w:eastAsia="仿宋_GB2312"/>
          <w:b w:val="0"/>
          <w:bCs w:val="0"/>
          <w:color w:val="000000"/>
          <w:sz w:val="32"/>
          <w:szCs w:val="32"/>
        </w:rPr>
        <w:t>30%</w:t>
      </w:r>
      <w:r>
        <w:rPr>
          <w:rFonts w:hint="eastAsia" w:ascii="仿宋_GB2312" w:hAnsi="仿宋" w:eastAsia="仿宋_GB2312"/>
          <w:b w:val="0"/>
          <w:bCs w:val="0"/>
          <w:color w:val="000000"/>
          <w:sz w:val="32"/>
          <w:szCs w:val="32"/>
        </w:rPr>
        <w:t>给予新增税收贡献奖励。新引进的企业自注册地迁入本区的第二个年度起开始享受。</w:t>
      </w:r>
    </w:p>
    <w:p>
      <w:pPr>
        <w:widowControl w:val="0"/>
        <w:wordWrap/>
        <w:adjustRightInd w:val="0"/>
        <w:snapToGrid w:val="0"/>
        <w:spacing w:before="0" w:after="0" w:line="336" w:lineRule="auto"/>
        <w:ind w:left="0" w:leftChars="0" w:right="0" w:firstLine="640" w:firstLineChars="200"/>
        <w:jc w:val="both"/>
        <w:textAlignment w:val="auto"/>
        <w:outlineLvl w:val="9"/>
        <w:rPr>
          <w:rFonts w:ascii="楷体" w:hAnsi="楷体" w:eastAsia="楷体" w:cs="楷体"/>
          <w:b w:val="0"/>
          <w:bCs w:val="0"/>
          <w:color w:val="000000"/>
          <w:sz w:val="32"/>
          <w:szCs w:val="32"/>
        </w:rPr>
      </w:pPr>
      <w:r>
        <w:rPr>
          <w:rFonts w:hint="eastAsia" w:ascii="楷体" w:hAnsi="楷体" w:eastAsia="楷体" w:cs="楷体"/>
          <w:b w:val="0"/>
          <w:bCs w:val="0"/>
          <w:color w:val="000000"/>
          <w:sz w:val="32"/>
          <w:szCs w:val="32"/>
        </w:rPr>
        <w:t>（二）外出经营贡献奖</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hAnsi="仿宋" w:eastAsia="仿宋_GB2312"/>
          <w:b w:val="0"/>
          <w:bCs w:val="0"/>
          <w:color w:val="000000"/>
          <w:sz w:val="32"/>
          <w:szCs w:val="32"/>
        </w:rPr>
      </w:pPr>
      <w:r>
        <w:rPr>
          <w:rFonts w:hint="eastAsia" w:ascii="仿宋_GB2312" w:hAnsi="仿宋" w:eastAsia="仿宋_GB2312"/>
          <w:b w:val="0"/>
          <w:bCs w:val="0"/>
          <w:color w:val="000000"/>
          <w:sz w:val="32"/>
          <w:szCs w:val="32"/>
        </w:rPr>
        <w:t>鼓励外出经营的企业回本区缴纳增值税和企业所得税等相关税收。建材公司、建筑劳务公司、建筑机械租赁企业按企业回本区缴纳增值税和企业所得税构成</w:t>
      </w:r>
      <w:r>
        <w:rPr>
          <w:rFonts w:hint="eastAsia" w:ascii="仿宋_GB2312" w:hAnsi="仿宋" w:eastAsia="仿宋_GB2312"/>
          <w:b w:val="0"/>
          <w:bCs w:val="0"/>
          <w:sz w:val="32"/>
          <w:szCs w:val="32"/>
        </w:rPr>
        <w:t>区级留成部分的</w:t>
      </w:r>
      <w:r>
        <w:rPr>
          <w:rFonts w:ascii="仿宋_GB2312" w:hAnsi="仿宋" w:eastAsia="仿宋_GB2312"/>
          <w:b w:val="0"/>
          <w:bCs w:val="0"/>
          <w:sz w:val="32"/>
          <w:szCs w:val="32"/>
        </w:rPr>
        <w:t>60%</w:t>
      </w:r>
      <w:r>
        <w:rPr>
          <w:rFonts w:hint="eastAsia" w:ascii="仿宋_GB2312" w:hAnsi="仿宋" w:eastAsia="仿宋_GB2312"/>
          <w:b w:val="0"/>
          <w:bCs w:val="0"/>
          <w:sz w:val="32"/>
          <w:szCs w:val="32"/>
        </w:rPr>
        <w:t>予以奖励（若企业回本区年纳税额达</w:t>
      </w:r>
      <w:r>
        <w:rPr>
          <w:rFonts w:ascii="仿宋_GB2312" w:hAnsi="仿宋" w:eastAsia="仿宋_GB2312"/>
          <w:b w:val="0"/>
          <w:bCs w:val="0"/>
          <w:sz w:val="32"/>
          <w:szCs w:val="32"/>
        </w:rPr>
        <w:t>5000</w:t>
      </w:r>
      <w:r>
        <w:rPr>
          <w:rFonts w:hint="eastAsia" w:ascii="仿宋_GB2312" w:hAnsi="仿宋" w:eastAsia="仿宋_GB2312"/>
          <w:b w:val="0"/>
          <w:bCs w:val="0"/>
          <w:sz w:val="32"/>
          <w:szCs w:val="32"/>
        </w:rPr>
        <w:t>万元及以上的，</w:t>
      </w:r>
      <w:r>
        <w:rPr>
          <w:rFonts w:hint="eastAsia" w:ascii="仿宋_GB2312" w:hAnsi="仿宋" w:eastAsia="仿宋_GB2312"/>
          <w:b w:val="0"/>
          <w:bCs w:val="0"/>
          <w:color w:val="000000"/>
          <w:sz w:val="32"/>
          <w:szCs w:val="32"/>
        </w:rPr>
        <w:t>可享受总部经济政策或按照“一事一议”政策执行）</w:t>
      </w:r>
      <w:r>
        <w:rPr>
          <w:rFonts w:hint="eastAsia" w:ascii="仿宋_GB2312" w:hAnsi="仿宋" w:eastAsia="仿宋_GB2312"/>
          <w:b w:val="0"/>
          <w:bCs w:val="0"/>
          <w:sz w:val="32"/>
          <w:szCs w:val="32"/>
        </w:rPr>
        <w:t>；其他企业按企业回本区缴纳增值税和企业所得税构成区级留成部分的</w:t>
      </w:r>
      <w:r>
        <w:rPr>
          <w:rFonts w:ascii="仿宋_GB2312" w:hAnsi="仿宋" w:eastAsia="仿宋_GB2312"/>
          <w:b w:val="0"/>
          <w:bCs w:val="0"/>
          <w:sz w:val="32"/>
          <w:szCs w:val="32"/>
        </w:rPr>
        <w:t>55%</w:t>
      </w:r>
      <w:r>
        <w:rPr>
          <w:rFonts w:hint="eastAsia" w:ascii="仿宋_GB2312" w:hAnsi="仿宋" w:eastAsia="仿宋_GB2312"/>
          <w:b w:val="0"/>
          <w:bCs w:val="0"/>
          <w:sz w:val="32"/>
          <w:szCs w:val="32"/>
        </w:rPr>
        <w:t>予以奖励；已和区政府签订奖励协议的企业，可按原协议标准执行。</w:t>
      </w:r>
    </w:p>
    <w:p>
      <w:pPr>
        <w:widowControl w:val="0"/>
        <w:wordWrap/>
        <w:adjustRightInd w:val="0"/>
        <w:snapToGrid w:val="0"/>
        <w:spacing w:before="0" w:after="0" w:line="336" w:lineRule="auto"/>
        <w:ind w:left="0" w:leftChars="0" w:right="0" w:firstLine="640" w:firstLineChars="200"/>
        <w:jc w:val="both"/>
        <w:textAlignment w:val="auto"/>
        <w:outlineLvl w:val="9"/>
        <w:rPr>
          <w:rFonts w:ascii="楷体" w:hAnsi="楷体" w:eastAsia="楷体" w:cs="楷体"/>
          <w:b w:val="0"/>
          <w:bCs w:val="0"/>
          <w:color w:val="000000"/>
          <w:sz w:val="32"/>
          <w:szCs w:val="32"/>
        </w:rPr>
      </w:pPr>
      <w:r>
        <w:rPr>
          <w:rFonts w:hint="eastAsia" w:ascii="楷体" w:hAnsi="楷体" w:eastAsia="楷体" w:cs="楷体"/>
          <w:b w:val="0"/>
          <w:bCs w:val="0"/>
          <w:color w:val="000000"/>
          <w:sz w:val="32"/>
          <w:szCs w:val="32"/>
        </w:rPr>
        <w:t>（三）引进企业贡献奖</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hAnsi="仿宋" w:eastAsia="仿宋_GB2312"/>
          <w:b w:val="0"/>
          <w:bCs w:val="0"/>
          <w:color w:val="000000"/>
          <w:sz w:val="32"/>
          <w:szCs w:val="32"/>
        </w:rPr>
      </w:pPr>
      <w:r>
        <w:rPr>
          <w:rFonts w:hint="eastAsia" w:ascii="仿宋_GB2312" w:hAnsi="仿宋" w:eastAsia="仿宋_GB2312"/>
          <w:b w:val="0"/>
          <w:bCs w:val="0"/>
          <w:color w:val="000000"/>
          <w:sz w:val="32"/>
          <w:szCs w:val="32"/>
        </w:rPr>
        <w:t>对各镇（街）引进区外企业（含施工总承包企业、专业承包、建筑劳务公</w:t>
      </w:r>
      <w:r>
        <w:rPr>
          <w:rFonts w:hint="eastAsia" w:ascii="仿宋_GB2312" w:hAnsi="仿宋" w:eastAsia="仿宋_GB2312"/>
          <w:b w:val="0"/>
          <w:bCs w:val="0"/>
          <w:sz w:val="32"/>
          <w:szCs w:val="32"/>
        </w:rPr>
        <w:t>司、建材公司、建筑机械租赁企业、勘察、设计、监理、造价咨询机构）落户本区的，按该企业每年度在本区缴纳增值税和企业所得税构成区级</w:t>
      </w:r>
      <w:r>
        <w:rPr>
          <w:rFonts w:hint="eastAsia" w:ascii="仿宋_GB2312" w:hAnsi="仿宋" w:eastAsia="仿宋_GB2312"/>
          <w:b w:val="0"/>
          <w:bCs w:val="0"/>
          <w:color w:val="000000"/>
          <w:sz w:val="32"/>
          <w:szCs w:val="32"/>
        </w:rPr>
        <w:t>留成部分的</w:t>
      </w:r>
      <w:r>
        <w:rPr>
          <w:rFonts w:ascii="仿宋_GB2312" w:hAnsi="仿宋" w:eastAsia="仿宋_GB2312"/>
          <w:b w:val="0"/>
          <w:bCs w:val="0"/>
          <w:color w:val="000000"/>
          <w:sz w:val="32"/>
          <w:szCs w:val="32"/>
        </w:rPr>
        <w:t>20%</w:t>
      </w:r>
      <w:r>
        <w:rPr>
          <w:rFonts w:hint="eastAsia" w:ascii="仿宋_GB2312" w:hAnsi="仿宋" w:eastAsia="仿宋_GB2312"/>
          <w:b w:val="0"/>
          <w:bCs w:val="0"/>
          <w:color w:val="000000"/>
          <w:sz w:val="32"/>
          <w:szCs w:val="32"/>
        </w:rPr>
        <w:t>予以奖励，补充所在镇（街）财力。</w:t>
      </w:r>
    </w:p>
    <w:p>
      <w:pPr>
        <w:widowControl w:val="0"/>
        <w:wordWrap/>
        <w:adjustRightInd w:val="0"/>
        <w:snapToGrid w:val="0"/>
        <w:spacing w:before="0" w:after="0" w:line="336" w:lineRule="auto"/>
        <w:ind w:left="0" w:leftChars="0" w:right="0" w:firstLine="640" w:firstLineChars="200"/>
        <w:jc w:val="both"/>
        <w:textAlignment w:val="auto"/>
        <w:outlineLvl w:val="9"/>
        <w:rPr>
          <w:rFonts w:ascii="楷体" w:hAnsi="楷体" w:eastAsia="楷体" w:cs="楷体"/>
          <w:b w:val="0"/>
          <w:bCs w:val="0"/>
          <w:color w:val="000000"/>
          <w:sz w:val="32"/>
          <w:szCs w:val="32"/>
        </w:rPr>
      </w:pPr>
      <w:r>
        <w:rPr>
          <w:rFonts w:hint="eastAsia" w:ascii="楷体" w:hAnsi="楷体" w:eastAsia="楷体" w:cs="楷体"/>
          <w:b w:val="0"/>
          <w:bCs w:val="0"/>
          <w:color w:val="000000"/>
          <w:sz w:val="32"/>
          <w:szCs w:val="32"/>
        </w:rPr>
        <w:t>（四）鼓励做大做强本区企业</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hAnsi="仿宋" w:eastAsia="仿宋_GB2312"/>
          <w:b w:val="0"/>
          <w:bCs w:val="0"/>
          <w:color w:val="000000"/>
          <w:sz w:val="32"/>
          <w:szCs w:val="32"/>
        </w:rPr>
      </w:pPr>
      <w:r>
        <w:rPr>
          <w:rFonts w:ascii="仿宋_GB2312" w:hAnsi="仿宋" w:eastAsia="仿宋_GB2312"/>
          <w:b w:val="0"/>
          <w:bCs w:val="0"/>
          <w:color w:val="000000"/>
          <w:sz w:val="32"/>
          <w:szCs w:val="32"/>
        </w:rPr>
        <w:t>1.</w:t>
      </w:r>
      <w:r>
        <w:rPr>
          <w:rFonts w:hint="eastAsia" w:ascii="仿宋_GB2312" w:hAnsi="仿宋" w:eastAsia="仿宋_GB2312"/>
          <w:b w:val="0"/>
          <w:bCs w:val="0"/>
          <w:color w:val="000000"/>
          <w:sz w:val="32"/>
          <w:szCs w:val="32"/>
        </w:rPr>
        <w:t>工程建设项目的勘察、设计、检测、施工、监理及工程建设有关的设备、材料等的采购，在国家规定的招标范围和规模标准以内的，按照规定可以邀请招标的，优先选择本区企业以单独或联合体身份参与投标；按照规定可以不招标的，优先选择本区企业以单独或联合体身份作为项目承包人。</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hAnsi="仿宋" w:eastAsia="仿宋_GB2312"/>
          <w:b w:val="0"/>
          <w:bCs w:val="0"/>
          <w:color w:val="000000"/>
          <w:sz w:val="32"/>
          <w:szCs w:val="32"/>
        </w:rPr>
      </w:pPr>
      <w:r>
        <w:rPr>
          <w:rFonts w:ascii="仿宋_GB2312" w:hAnsi="仿宋" w:eastAsia="仿宋_GB2312"/>
          <w:b w:val="0"/>
          <w:bCs w:val="0"/>
          <w:color w:val="000000"/>
          <w:sz w:val="32"/>
          <w:szCs w:val="32"/>
        </w:rPr>
        <w:t>2.</w:t>
      </w:r>
      <w:r>
        <w:rPr>
          <w:rFonts w:hint="eastAsia" w:ascii="仿宋_GB2312" w:hAnsi="仿宋" w:eastAsia="仿宋_GB2312"/>
          <w:b w:val="0"/>
          <w:bCs w:val="0"/>
          <w:color w:val="000000"/>
          <w:sz w:val="32"/>
          <w:szCs w:val="32"/>
        </w:rPr>
        <w:t>建立本区“建安企业名录”库，政府性投资（指使用国有资金投资或国有资金占控股投资）的小额工程项目，由项目业主按规定从名录库中选择。</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hAnsi="仿宋" w:eastAsia="仿宋_GB2312"/>
          <w:b w:val="0"/>
          <w:bCs w:val="0"/>
          <w:color w:val="000000"/>
          <w:sz w:val="32"/>
          <w:szCs w:val="32"/>
        </w:rPr>
      </w:pPr>
      <w:r>
        <w:rPr>
          <w:rFonts w:ascii="仿宋_GB2312" w:hAnsi="仿宋" w:eastAsia="仿宋_GB2312"/>
          <w:b w:val="0"/>
          <w:bCs w:val="0"/>
          <w:color w:val="000000"/>
          <w:sz w:val="32"/>
          <w:szCs w:val="32"/>
        </w:rPr>
        <w:t>3.</w:t>
      </w:r>
      <w:r>
        <w:rPr>
          <w:rFonts w:hint="eastAsia" w:ascii="仿宋_GB2312" w:hAnsi="仿宋" w:eastAsia="仿宋_GB2312"/>
          <w:b w:val="0"/>
          <w:bCs w:val="0"/>
          <w:color w:val="000000"/>
          <w:sz w:val="32"/>
          <w:szCs w:val="32"/>
        </w:rPr>
        <w:t>鼓励本区建筑企业互相采购，对向辖区内企业采购有关工程建设材料及施工劳务、建筑机械租赁服务金额每年达3000万元及以上的建筑企业，按采购金额的0.2%奖励给购买方，奖励金额每年最高不超过</w:t>
      </w:r>
      <w:r>
        <w:rPr>
          <w:rFonts w:ascii="仿宋_GB2312" w:hAnsi="仿宋" w:eastAsia="仿宋_GB2312"/>
          <w:b w:val="0"/>
          <w:bCs w:val="0"/>
          <w:color w:val="000000"/>
          <w:sz w:val="32"/>
          <w:szCs w:val="32"/>
        </w:rPr>
        <w:t>30</w:t>
      </w:r>
      <w:r>
        <w:rPr>
          <w:rFonts w:hint="eastAsia" w:ascii="仿宋_GB2312" w:hAnsi="仿宋" w:eastAsia="仿宋_GB2312"/>
          <w:b w:val="0"/>
          <w:bCs w:val="0"/>
          <w:color w:val="000000"/>
          <w:sz w:val="32"/>
          <w:szCs w:val="32"/>
        </w:rPr>
        <w:t>万元。</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hAnsi="仿宋" w:eastAsia="仿宋_GB2312"/>
          <w:b w:val="0"/>
          <w:bCs w:val="0"/>
          <w:color w:val="000000"/>
          <w:sz w:val="32"/>
          <w:szCs w:val="32"/>
        </w:rPr>
      </w:pPr>
      <w:r>
        <w:rPr>
          <w:rFonts w:hint="eastAsia" w:ascii="仿宋_GB2312" w:hAnsi="仿宋" w:eastAsia="仿宋_GB2312"/>
          <w:b w:val="0"/>
          <w:bCs w:val="0"/>
          <w:color w:val="000000"/>
          <w:sz w:val="32"/>
          <w:szCs w:val="32"/>
        </w:rPr>
        <w:t>上述奖励措施自</w:t>
      </w:r>
      <w:r>
        <w:rPr>
          <w:rFonts w:ascii="仿宋_GB2312" w:hAnsi="仿宋" w:eastAsia="仿宋_GB2312"/>
          <w:b w:val="0"/>
          <w:bCs w:val="0"/>
          <w:color w:val="000000"/>
          <w:sz w:val="32"/>
          <w:szCs w:val="32"/>
        </w:rPr>
        <w:t>2019</w:t>
      </w:r>
      <w:r>
        <w:rPr>
          <w:rFonts w:hint="eastAsia" w:ascii="仿宋_GB2312" w:hAnsi="仿宋" w:eastAsia="仿宋_GB2312"/>
          <w:b w:val="0"/>
          <w:bCs w:val="0"/>
          <w:color w:val="000000"/>
          <w:sz w:val="32"/>
          <w:szCs w:val="32"/>
        </w:rPr>
        <w:t>年</w:t>
      </w:r>
      <w:r>
        <w:rPr>
          <w:rFonts w:ascii="仿宋_GB2312" w:hAnsi="仿宋" w:eastAsia="仿宋_GB2312"/>
          <w:b w:val="0"/>
          <w:bCs w:val="0"/>
          <w:color w:val="000000"/>
          <w:sz w:val="32"/>
          <w:szCs w:val="32"/>
        </w:rPr>
        <w:t>1</w:t>
      </w:r>
      <w:r>
        <w:rPr>
          <w:rFonts w:hint="eastAsia" w:ascii="仿宋_GB2312" w:hAnsi="仿宋" w:eastAsia="仿宋_GB2312"/>
          <w:b w:val="0"/>
          <w:bCs w:val="0"/>
          <w:color w:val="000000"/>
          <w:sz w:val="32"/>
          <w:szCs w:val="32"/>
        </w:rPr>
        <w:t>月</w:t>
      </w:r>
      <w:r>
        <w:rPr>
          <w:rFonts w:ascii="仿宋_GB2312" w:hAnsi="仿宋" w:eastAsia="仿宋_GB2312"/>
          <w:b w:val="0"/>
          <w:bCs w:val="0"/>
          <w:color w:val="000000"/>
          <w:sz w:val="32"/>
          <w:szCs w:val="32"/>
        </w:rPr>
        <w:t>1</w:t>
      </w:r>
      <w:r>
        <w:rPr>
          <w:rFonts w:hint="eastAsia" w:ascii="仿宋_GB2312" w:hAnsi="仿宋" w:eastAsia="仿宋_GB2312"/>
          <w:b w:val="0"/>
          <w:bCs w:val="0"/>
          <w:color w:val="000000"/>
          <w:sz w:val="32"/>
          <w:szCs w:val="32"/>
        </w:rPr>
        <w:t>日起执行，试行期</w:t>
      </w:r>
      <w:r>
        <w:rPr>
          <w:rFonts w:ascii="仿宋_GB2312" w:hAnsi="仿宋" w:eastAsia="仿宋_GB2312"/>
          <w:b w:val="0"/>
          <w:bCs w:val="0"/>
          <w:color w:val="000000"/>
          <w:sz w:val="32"/>
          <w:szCs w:val="32"/>
        </w:rPr>
        <w:t>3</w:t>
      </w:r>
      <w:r>
        <w:rPr>
          <w:rFonts w:hint="eastAsia" w:ascii="仿宋_GB2312" w:hAnsi="仿宋" w:eastAsia="仿宋_GB2312"/>
          <w:b w:val="0"/>
          <w:bCs w:val="0"/>
          <w:color w:val="000000"/>
          <w:sz w:val="32"/>
          <w:szCs w:val="32"/>
        </w:rPr>
        <w:t>年。</w:t>
      </w:r>
    </w:p>
    <w:p>
      <w:pPr>
        <w:widowControl w:val="0"/>
        <w:wordWrap/>
        <w:adjustRightInd w:val="0"/>
        <w:snapToGrid w:val="0"/>
        <w:spacing w:before="0" w:after="0" w:line="336" w:lineRule="auto"/>
        <w:ind w:left="0" w:leftChars="0" w:right="0" w:firstLine="640" w:firstLineChars="200"/>
        <w:jc w:val="both"/>
        <w:textAlignment w:val="auto"/>
        <w:outlineLvl w:val="9"/>
        <w:rPr>
          <w:rFonts w:ascii="黑体" w:hAnsi="黑体" w:eastAsia="黑体" w:cs="黑体"/>
          <w:b w:val="0"/>
          <w:bCs w:val="0"/>
          <w:color w:val="000000"/>
          <w:sz w:val="32"/>
          <w:szCs w:val="32"/>
        </w:rPr>
      </w:pPr>
      <w:r>
        <w:rPr>
          <w:rFonts w:hint="eastAsia" w:ascii="黑体" w:hAnsi="黑体" w:eastAsia="黑体" w:cs="黑体"/>
          <w:b w:val="0"/>
          <w:bCs w:val="0"/>
          <w:color w:val="000000"/>
          <w:sz w:val="32"/>
          <w:szCs w:val="32"/>
        </w:rPr>
        <w:t>六、鼓励企业资质升级</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hAnsi="仿宋" w:eastAsia="仿宋_GB2312"/>
          <w:b w:val="0"/>
          <w:bCs w:val="0"/>
          <w:color w:val="000000"/>
          <w:sz w:val="32"/>
          <w:szCs w:val="32"/>
        </w:rPr>
      </w:pPr>
      <w:r>
        <w:rPr>
          <w:rFonts w:hint="eastAsia" w:ascii="仿宋_GB2312" w:hAnsi="仿宋" w:eastAsia="仿宋_GB2312"/>
          <w:b w:val="0"/>
          <w:bCs w:val="0"/>
          <w:color w:val="000000"/>
          <w:sz w:val="32"/>
          <w:szCs w:val="32"/>
        </w:rPr>
        <w:t>对在本区注册的建筑企业新晋升特级总承包资质的，给予</w:t>
      </w:r>
      <w:r>
        <w:rPr>
          <w:rFonts w:ascii="仿宋_GB2312" w:hAnsi="仿宋" w:eastAsia="仿宋_GB2312"/>
          <w:b w:val="0"/>
          <w:bCs w:val="0"/>
          <w:color w:val="000000"/>
          <w:sz w:val="32"/>
          <w:szCs w:val="32"/>
        </w:rPr>
        <w:t>300</w:t>
      </w:r>
      <w:r>
        <w:rPr>
          <w:rFonts w:hint="eastAsia" w:ascii="仿宋_GB2312" w:hAnsi="仿宋" w:eastAsia="仿宋_GB2312"/>
          <w:b w:val="0"/>
          <w:bCs w:val="0"/>
          <w:color w:val="000000"/>
          <w:sz w:val="32"/>
          <w:szCs w:val="32"/>
        </w:rPr>
        <w:t>万元奖励；新晋升一级总承包资质的，给予</w:t>
      </w:r>
      <w:r>
        <w:rPr>
          <w:rFonts w:ascii="仿宋_GB2312" w:hAnsi="仿宋" w:eastAsia="仿宋_GB2312"/>
          <w:b w:val="0"/>
          <w:bCs w:val="0"/>
          <w:color w:val="000000"/>
          <w:sz w:val="32"/>
          <w:szCs w:val="32"/>
        </w:rPr>
        <w:t>30</w:t>
      </w:r>
      <w:r>
        <w:rPr>
          <w:rFonts w:hint="eastAsia" w:ascii="仿宋_GB2312" w:hAnsi="仿宋" w:eastAsia="仿宋_GB2312"/>
          <w:b w:val="0"/>
          <w:bCs w:val="0"/>
          <w:color w:val="000000"/>
          <w:sz w:val="32"/>
          <w:szCs w:val="32"/>
        </w:rPr>
        <w:t>万元奖励；新晋升二级总承包资质的，给予</w:t>
      </w:r>
      <w:r>
        <w:rPr>
          <w:rFonts w:ascii="仿宋_GB2312" w:hAnsi="仿宋" w:eastAsia="仿宋_GB2312"/>
          <w:b w:val="0"/>
          <w:bCs w:val="0"/>
          <w:color w:val="000000"/>
          <w:sz w:val="32"/>
          <w:szCs w:val="32"/>
        </w:rPr>
        <w:t>15</w:t>
      </w:r>
      <w:r>
        <w:rPr>
          <w:rFonts w:hint="eastAsia" w:ascii="仿宋_GB2312" w:hAnsi="仿宋" w:eastAsia="仿宋_GB2312"/>
          <w:b w:val="0"/>
          <w:bCs w:val="0"/>
          <w:color w:val="000000"/>
          <w:sz w:val="32"/>
          <w:szCs w:val="32"/>
        </w:rPr>
        <w:t>万元奖励；新晋升专业承包一级资质的，给予</w:t>
      </w:r>
      <w:r>
        <w:rPr>
          <w:rFonts w:ascii="仿宋_GB2312" w:hAnsi="仿宋" w:eastAsia="仿宋_GB2312"/>
          <w:b w:val="0"/>
          <w:bCs w:val="0"/>
          <w:color w:val="000000"/>
          <w:sz w:val="32"/>
          <w:szCs w:val="32"/>
        </w:rPr>
        <w:t>5</w:t>
      </w:r>
      <w:r>
        <w:rPr>
          <w:rFonts w:hint="eastAsia" w:ascii="仿宋_GB2312" w:hAnsi="仿宋" w:eastAsia="仿宋_GB2312"/>
          <w:b w:val="0"/>
          <w:bCs w:val="0"/>
          <w:color w:val="000000"/>
          <w:sz w:val="32"/>
          <w:szCs w:val="32"/>
        </w:rPr>
        <w:t>万元奖励。增项或晋升甲级勘察、设计、监理或综合检测资质的，参照晋升一级总承包企业资质予以奖励；增项或晋升乙级勘察、设计或监理资质的，参照晋升二级总承包企业资质予以奖励；增项丙级勘察、设计或监理资质的，奖励</w:t>
      </w:r>
      <w:r>
        <w:rPr>
          <w:rFonts w:ascii="仿宋_GB2312" w:hAnsi="仿宋" w:eastAsia="仿宋_GB2312"/>
          <w:b w:val="0"/>
          <w:bCs w:val="0"/>
          <w:color w:val="000000"/>
          <w:sz w:val="32"/>
          <w:szCs w:val="32"/>
        </w:rPr>
        <w:t>5</w:t>
      </w:r>
      <w:r>
        <w:rPr>
          <w:rFonts w:hint="eastAsia" w:ascii="仿宋_GB2312" w:hAnsi="仿宋" w:eastAsia="仿宋_GB2312"/>
          <w:b w:val="0"/>
          <w:bCs w:val="0"/>
          <w:color w:val="000000"/>
          <w:sz w:val="32"/>
          <w:szCs w:val="32"/>
        </w:rPr>
        <w:t>万元。对新晋升公路、铁路、港航、水利、电力施工总承包资质和桥、隧道工程专业承包资质的企业，奖励标准为上述标准的</w:t>
      </w:r>
      <w:r>
        <w:rPr>
          <w:rFonts w:ascii="仿宋_GB2312" w:hAnsi="仿宋" w:eastAsia="仿宋_GB2312"/>
          <w:b w:val="0"/>
          <w:bCs w:val="0"/>
          <w:color w:val="000000"/>
          <w:sz w:val="32"/>
          <w:szCs w:val="32"/>
        </w:rPr>
        <w:t>1.5</w:t>
      </w:r>
      <w:r>
        <w:rPr>
          <w:rFonts w:hint="eastAsia" w:ascii="仿宋_GB2312" w:hAnsi="仿宋" w:eastAsia="仿宋_GB2312"/>
          <w:b w:val="0"/>
          <w:bCs w:val="0"/>
          <w:color w:val="000000"/>
          <w:sz w:val="32"/>
          <w:szCs w:val="32"/>
        </w:rPr>
        <w:t>倍。同一年度专业承包资质多次晋升的不重复奖励，按最高奖项予以奖励。享受补助的企业</w:t>
      </w:r>
      <w:r>
        <w:rPr>
          <w:rFonts w:ascii="仿宋_GB2312" w:hAnsi="仿宋" w:eastAsia="仿宋_GB2312"/>
          <w:b w:val="0"/>
          <w:bCs w:val="0"/>
          <w:color w:val="000000"/>
          <w:sz w:val="32"/>
          <w:szCs w:val="32"/>
        </w:rPr>
        <w:t>10</w:t>
      </w:r>
      <w:r>
        <w:rPr>
          <w:rFonts w:hint="eastAsia" w:ascii="仿宋_GB2312" w:hAnsi="仿宋" w:eastAsia="仿宋_GB2312"/>
          <w:b w:val="0"/>
          <w:bCs w:val="0"/>
          <w:color w:val="000000"/>
          <w:sz w:val="32"/>
          <w:szCs w:val="32"/>
        </w:rPr>
        <w:t>年内不得将注册地外迁，否则该企业须返还获得的相应补助资金后，市场监督管理、税务等部门才给予办理外迁手续。</w:t>
      </w:r>
    </w:p>
    <w:p>
      <w:pPr>
        <w:widowControl w:val="0"/>
        <w:wordWrap/>
        <w:adjustRightInd w:val="0"/>
        <w:snapToGrid w:val="0"/>
        <w:spacing w:before="0" w:after="0" w:line="336" w:lineRule="auto"/>
        <w:ind w:left="0" w:leftChars="0" w:right="0" w:firstLine="640" w:firstLineChars="200"/>
        <w:jc w:val="both"/>
        <w:textAlignment w:val="auto"/>
        <w:outlineLvl w:val="9"/>
        <w:rPr>
          <w:rFonts w:ascii="黑体" w:hAnsi="黑体" w:eastAsia="黑体" w:cs="黑体"/>
          <w:b w:val="0"/>
          <w:bCs w:val="0"/>
          <w:color w:val="000000"/>
          <w:sz w:val="32"/>
          <w:szCs w:val="32"/>
        </w:rPr>
      </w:pPr>
      <w:r>
        <w:rPr>
          <w:rFonts w:hint="eastAsia" w:ascii="黑体" w:hAnsi="黑体" w:eastAsia="黑体" w:cs="黑体"/>
          <w:b w:val="0"/>
          <w:bCs w:val="0"/>
          <w:color w:val="000000"/>
          <w:sz w:val="32"/>
          <w:szCs w:val="32"/>
        </w:rPr>
        <w:t>七、解决企业人才子女就学</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hAnsi="仿宋" w:eastAsia="仿宋_GB2312"/>
          <w:b w:val="0"/>
          <w:bCs w:val="0"/>
          <w:color w:val="000000"/>
          <w:sz w:val="32"/>
          <w:szCs w:val="32"/>
          <w:u w:val="single"/>
        </w:rPr>
      </w:pPr>
      <w:r>
        <w:rPr>
          <w:rFonts w:hint="eastAsia" w:ascii="仿宋_GB2312" w:eastAsia="仿宋_GB2312" w:cs="仿宋_GB2312"/>
          <w:b w:val="0"/>
          <w:bCs w:val="0"/>
          <w:color w:val="000000"/>
          <w:sz w:val="32"/>
          <w:szCs w:val="32"/>
        </w:rPr>
        <w:t>对上一年度受区政府表彰的“纳税大户”建筑企业引进高层次人才的随迁子女，根据本人的意愿，在九年制义务教育阶段就读的，由区教育局根据企业纳税额，统筹优先安排公办学校入学：企业上年度在本区纳税</w:t>
      </w:r>
      <w:r>
        <w:rPr>
          <w:rFonts w:ascii="仿宋_GB2312" w:eastAsia="仿宋_GB2312" w:cs="仿宋_GB2312"/>
          <w:b w:val="0"/>
          <w:bCs w:val="0"/>
          <w:color w:val="000000"/>
          <w:sz w:val="32"/>
          <w:szCs w:val="32"/>
        </w:rPr>
        <w:t>100</w:t>
      </w:r>
      <w:r>
        <w:rPr>
          <w:rFonts w:hint="eastAsia" w:ascii="仿宋_GB2312" w:eastAsia="仿宋_GB2312" w:cs="仿宋_GB2312"/>
          <w:b w:val="0"/>
          <w:bCs w:val="0"/>
          <w:color w:val="000000"/>
          <w:sz w:val="32"/>
          <w:szCs w:val="32"/>
        </w:rPr>
        <w:t>万元以上</w:t>
      </w:r>
      <w:r>
        <w:rPr>
          <w:rFonts w:ascii="仿宋_GB2312" w:eastAsia="仿宋_GB2312" w:cs="仿宋_GB2312"/>
          <w:b w:val="0"/>
          <w:bCs w:val="0"/>
          <w:color w:val="000000"/>
          <w:sz w:val="32"/>
          <w:szCs w:val="32"/>
        </w:rPr>
        <w:t>500</w:t>
      </w:r>
      <w:r>
        <w:rPr>
          <w:rFonts w:hint="eastAsia" w:ascii="仿宋_GB2312" w:eastAsia="仿宋_GB2312" w:cs="仿宋_GB2312"/>
          <w:b w:val="0"/>
          <w:bCs w:val="0"/>
          <w:color w:val="000000"/>
          <w:sz w:val="32"/>
          <w:szCs w:val="32"/>
        </w:rPr>
        <w:t>万元以下，安排就学</w:t>
      </w:r>
      <w:r>
        <w:rPr>
          <w:rFonts w:ascii="仿宋_GB2312" w:eastAsia="仿宋_GB2312" w:cs="仿宋_GB2312"/>
          <w:b w:val="0"/>
          <w:bCs w:val="0"/>
          <w:color w:val="000000"/>
          <w:sz w:val="32"/>
          <w:szCs w:val="32"/>
        </w:rPr>
        <w:t>2</w:t>
      </w:r>
      <w:r>
        <w:rPr>
          <w:rFonts w:hint="eastAsia" w:ascii="仿宋_GB2312" w:eastAsia="仿宋_GB2312" w:cs="仿宋_GB2312"/>
          <w:b w:val="0"/>
          <w:bCs w:val="0"/>
          <w:color w:val="000000"/>
          <w:sz w:val="32"/>
          <w:szCs w:val="32"/>
        </w:rPr>
        <w:t>名；纳税</w:t>
      </w:r>
      <w:r>
        <w:rPr>
          <w:rFonts w:ascii="仿宋_GB2312" w:eastAsia="仿宋_GB2312" w:cs="仿宋_GB2312"/>
          <w:b w:val="0"/>
          <w:bCs w:val="0"/>
          <w:color w:val="000000"/>
          <w:sz w:val="32"/>
          <w:szCs w:val="32"/>
        </w:rPr>
        <w:t>500</w:t>
      </w:r>
      <w:r>
        <w:rPr>
          <w:rFonts w:hint="eastAsia" w:ascii="仿宋_GB2312" w:eastAsia="仿宋_GB2312" w:cs="仿宋_GB2312"/>
          <w:b w:val="0"/>
          <w:bCs w:val="0"/>
          <w:color w:val="000000"/>
          <w:sz w:val="32"/>
          <w:szCs w:val="32"/>
        </w:rPr>
        <w:t>万元以上</w:t>
      </w:r>
      <w:r>
        <w:rPr>
          <w:rFonts w:ascii="仿宋_GB2312" w:eastAsia="仿宋_GB2312" w:cs="仿宋_GB2312"/>
          <w:b w:val="0"/>
          <w:bCs w:val="0"/>
          <w:color w:val="000000"/>
          <w:sz w:val="32"/>
          <w:szCs w:val="32"/>
        </w:rPr>
        <w:t>1000</w:t>
      </w:r>
      <w:r>
        <w:rPr>
          <w:rFonts w:hint="eastAsia" w:ascii="仿宋_GB2312" w:eastAsia="仿宋_GB2312" w:cs="仿宋_GB2312"/>
          <w:b w:val="0"/>
          <w:bCs w:val="0"/>
          <w:color w:val="000000"/>
          <w:sz w:val="32"/>
          <w:szCs w:val="32"/>
        </w:rPr>
        <w:t>万元以下，安排就学不超过</w:t>
      </w:r>
      <w:r>
        <w:rPr>
          <w:rFonts w:ascii="仿宋_GB2312" w:eastAsia="仿宋_GB2312" w:cs="仿宋_GB2312"/>
          <w:b w:val="0"/>
          <w:bCs w:val="0"/>
          <w:color w:val="000000"/>
          <w:sz w:val="32"/>
          <w:szCs w:val="32"/>
        </w:rPr>
        <w:t>3</w:t>
      </w:r>
      <w:r>
        <w:rPr>
          <w:rFonts w:hint="eastAsia" w:ascii="仿宋_GB2312" w:eastAsia="仿宋_GB2312" w:cs="仿宋_GB2312"/>
          <w:b w:val="0"/>
          <w:bCs w:val="0"/>
          <w:color w:val="000000"/>
          <w:sz w:val="32"/>
          <w:szCs w:val="32"/>
        </w:rPr>
        <w:t>名；纳税在</w:t>
      </w:r>
      <w:r>
        <w:rPr>
          <w:rFonts w:ascii="仿宋_GB2312" w:eastAsia="仿宋_GB2312" w:cs="仿宋_GB2312"/>
          <w:b w:val="0"/>
          <w:bCs w:val="0"/>
          <w:color w:val="000000"/>
          <w:sz w:val="32"/>
          <w:szCs w:val="32"/>
        </w:rPr>
        <w:t>1000</w:t>
      </w:r>
      <w:r>
        <w:rPr>
          <w:rFonts w:hint="eastAsia" w:ascii="仿宋_GB2312" w:eastAsia="仿宋_GB2312" w:cs="仿宋_GB2312"/>
          <w:b w:val="0"/>
          <w:bCs w:val="0"/>
          <w:color w:val="000000"/>
          <w:sz w:val="32"/>
          <w:szCs w:val="32"/>
        </w:rPr>
        <w:t>万元以下</w:t>
      </w:r>
      <w:r>
        <w:rPr>
          <w:rFonts w:ascii="仿宋_GB2312" w:eastAsia="仿宋_GB2312" w:cs="仿宋_GB2312"/>
          <w:b w:val="0"/>
          <w:bCs w:val="0"/>
          <w:color w:val="000000"/>
          <w:sz w:val="32"/>
          <w:szCs w:val="32"/>
        </w:rPr>
        <w:t>3000</w:t>
      </w:r>
      <w:r>
        <w:rPr>
          <w:rFonts w:hint="eastAsia" w:ascii="仿宋_GB2312" w:eastAsia="仿宋_GB2312" w:cs="仿宋_GB2312"/>
          <w:b w:val="0"/>
          <w:bCs w:val="0"/>
          <w:color w:val="000000"/>
          <w:sz w:val="32"/>
          <w:szCs w:val="32"/>
        </w:rPr>
        <w:t>万元以下的，安排就学不超过</w:t>
      </w:r>
      <w:r>
        <w:rPr>
          <w:rFonts w:ascii="仿宋_GB2312" w:eastAsia="仿宋_GB2312" w:cs="仿宋_GB2312"/>
          <w:b w:val="0"/>
          <w:bCs w:val="0"/>
          <w:color w:val="000000"/>
          <w:sz w:val="32"/>
          <w:szCs w:val="32"/>
        </w:rPr>
        <w:t>4</w:t>
      </w:r>
      <w:r>
        <w:rPr>
          <w:rFonts w:hint="eastAsia" w:ascii="仿宋_GB2312" w:eastAsia="仿宋_GB2312" w:cs="仿宋_GB2312"/>
          <w:b w:val="0"/>
          <w:bCs w:val="0"/>
          <w:color w:val="000000"/>
          <w:sz w:val="32"/>
          <w:szCs w:val="32"/>
        </w:rPr>
        <w:t>名；纳税在</w:t>
      </w:r>
      <w:r>
        <w:rPr>
          <w:rFonts w:ascii="仿宋_GB2312" w:eastAsia="仿宋_GB2312" w:cs="仿宋_GB2312"/>
          <w:b w:val="0"/>
          <w:bCs w:val="0"/>
          <w:color w:val="000000"/>
          <w:sz w:val="32"/>
          <w:szCs w:val="32"/>
        </w:rPr>
        <w:t>3000</w:t>
      </w:r>
      <w:r>
        <w:rPr>
          <w:rFonts w:hint="eastAsia" w:ascii="仿宋_GB2312" w:eastAsia="仿宋_GB2312" w:cs="仿宋_GB2312"/>
          <w:b w:val="0"/>
          <w:bCs w:val="0"/>
          <w:color w:val="000000"/>
          <w:sz w:val="32"/>
          <w:szCs w:val="32"/>
        </w:rPr>
        <w:t>万元以上</w:t>
      </w:r>
      <w:r>
        <w:rPr>
          <w:rFonts w:ascii="仿宋_GB2312" w:eastAsia="仿宋_GB2312" w:cs="仿宋_GB2312"/>
          <w:b w:val="0"/>
          <w:bCs w:val="0"/>
          <w:color w:val="000000"/>
          <w:sz w:val="32"/>
          <w:szCs w:val="32"/>
        </w:rPr>
        <w:t>5000</w:t>
      </w:r>
      <w:r>
        <w:rPr>
          <w:rFonts w:hint="eastAsia" w:ascii="仿宋_GB2312" w:eastAsia="仿宋_GB2312" w:cs="仿宋_GB2312"/>
          <w:b w:val="0"/>
          <w:bCs w:val="0"/>
          <w:color w:val="000000"/>
          <w:sz w:val="32"/>
          <w:szCs w:val="32"/>
        </w:rPr>
        <w:t>万元以下的，安排就学不超过</w:t>
      </w:r>
      <w:r>
        <w:rPr>
          <w:rFonts w:ascii="仿宋_GB2312" w:eastAsia="仿宋_GB2312" w:cs="仿宋_GB2312"/>
          <w:b w:val="0"/>
          <w:bCs w:val="0"/>
          <w:color w:val="000000"/>
          <w:sz w:val="32"/>
          <w:szCs w:val="32"/>
        </w:rPr>
        <w:t>5</w:t>
      </w:r>
      <w:r>
        <w:rPr>
          <w:rFonts w:hint="eastAsia" w:ascii="仿宋_GB2312" w:eastAsia="仿宋_GB2312" w:cs="仿宋_GB2312"/>
          <w:b w:val="0"/>
          <w:bCs w:val="0"/>
          <w:color w:val="000000"/>
          <w:sz w:val="32"/>
          <w:szCs w:val="32"/>
        </w:rPr>
        <w:t>名；纳税在</w:t>
      </w:r>
      <w:r>
        <w:rPr>
          <w:rFonts w:ascii="仿宋_GB2312" w:eastAsia="仿宋_GB2312" w:cs="仿宋_GB2312"/>
          <w:b w:val="0"/>
          <w:bCs w:val="0"/>
          <w:color w:val="000000"/>
          <w:sz w:val="32"/>
          <w:szCs w:val="32"/>
        </w:rPr>
        <w:t>5000</w:t>
      </w:r>
      <w:r>
        <w:rPr>
          <w:rFonts w:hint="eastAsia" w:ascii="仿宋_GB2312" w:eastAsia="仿宋_GB2312" w:cs="仿宋_GB2312"/>
          <w:b w:val="0"/>
          <w:bCs w:val="0"/>
          <w:color w:val="000000"/>
          <w:sz w:val="32"/>
          <w:szCs w:val="32"/>
        </w:rPr>
        <w:t>万元以上的，安排就学名额不超过</w:t>
      </w:r>
      <w:r>
        <w:rPr>
          <w:rFonts w:ascii="仿宋_GB2312" w:eastAsia="仿宋_GB2312" w:cs="仿宋_GB2312"/>
          <w:b w:val="0"/>
          <w:bCs w:val="0"/>
          <w:color w:val="000000"/>
          <w:sz w:val="32"/>
          <w:szCs w:val="32"/>
        </w:rPr>
        <w:t>6</w:t>
      </w:r>
      <w:r>
        <w:rPr>
          <w:rFonts w:hint="eastAsia" w:ascii="仿宋_GB2312" w:eastAsia="仿宋_GB2312" w:cs="仿宋_GB2312"/>
          <w:b w:val="0"/>
          <w:bCs w:val="0"/>
          <w:color w:val="000000"/>
          <w:sz w:val="32"/>
          <w:szCs w:val="32"/>
        </w:rPr>
        <w:t>名。由区住建局审核把关统一上报区招生委员审批。</w:t>
      </w:r>
    </w:p>
    <w:p>
      <w:pPr>
        <w:widowControl w:val="0"/>
        <w:wordWrap/>
        <w:adjustRightInd w:val="0"/>
        <w:snapToGrid w:val="0"/>
        <w:spacing w:before="0" w:after="0" w:line="336" w:lineRule="auto"/>
        <w:ind w:left="0" w:leftChars="0" w:right="0" w:firstLine="640" w:firstLineChars="200"/>
        <w:jc w:val="both"/>
        <w:textAlignment w:val="auto"/>
        <w:outlineLvl w:val="9"/>
        <w:rPr>
          <w:rFonts w:ascii="黑体" w:hAnsi="黑体" w:eastAsia="黑体" w:cs="黑体"/>
          <w:b w:val="0"/>
          <w:bCs w:val="0"/>
          <w:color w:val="000000"/>
          <w:sz w:val="32"/>
          <w:szCs w:val="32"/>
        </w:rPr>
      </w:pPr>
      <w:r>
        <w:rPr>
          <w:rFonts w:hint="eastAsia" w:ascii="黑体" w:hAnsi="黑体" w:eastAsia="黑体" w:cs="黑体"/>
          <w:b w:val="0"/>
          <w:bCs w:val="0"/>
          <w:color w:val="000000"/>
          <w:sz w:val="32"/>
          <w:szCs w:val="32"/>
        </w:rPr>
        <w:t>八、提升建设工程质量安全品牌</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hAnsi="仿宋" w:eastAsia="仿宋_GB2312"/>
          <w:b w:val="0"/>
          <w:bCs w:val="0"/>
          <w:color w:val="000000"/>
          <w:sz w:val="32"/>
          <w:szCs w:val="32"/>
        </w:rPr>
      </w:pPr>
      <w:r>
        <w:rPr>
          <w:rFonts w:hint="eastAsia" w:ascii="楷体" w:hAnsi="楷体" w:eastAsia="楷体" w:cs="楷体"/>
          <w:b w:val="0"/>
          <w:bCs w:val="0"/>
          <w:color w:val="000000"/>
          <w:sz w:val="32"/>
          <w:szCs w:val="32"/>
        </w:rPr>
        <w:t>（一）鼓励创建优质工程。</w:t>
      </w:r>
      <w:r>
        <w:rPr>
          <w:rFonts w:hint="eastAsia" w:ascii="仿宋_GB2312" w:hAnsi="仿宋" w:eastAsia="仿宋_GB2312"/>
          <w:b w:val="0"/>
          <w:bCs w:val="0"/>
          <w:color w:val="000000"/>
          <w:sz w:val="32"/>
          <w:szCs w:val="32"/>
        </w:rPr>
        <w:t>对获得国家“鲁班奖”、省“闽江杯”优质工程给予奖励。本区建设工程获得“鲁班奖”优质工程给予建筑企业奖励</w:t>
      </w:r>
      <w:r>
        <w:rPr>
          <w:rFonts w:ascii="仿宋_GB2312" w:hAnsi="仿宋" w:eastAsia="仿宋_GB2312"/>
          <w:b w:val="0"/>
          <w:bCs w:val="0"/>
          <w:color w:val="000000"/>
          <w:sz w:val="32"/>
          <w:szCs w:val="32"/>
        </w:rPr>
        <w:t>20</w:t>
      </w:r>
      <w:r>
        <w:rPr>
          <w:rFonts w:hint="eastAsia" w:ascii="仿宋_GB2312" w:hAnsi="仿宋" w:eastAsia="仿宋_GB2312"/>
          <w:b w:val="0"/>
          <w:bCs w:val="0"/>
          <w:color w:val="000000"/>
          <w:sz w:val="32"/>
          <w:szCs w:val="32"/>
        </w:rPr>
        <w:t>万元，获得省“闽江杯”优质工程给予建筑企业奖励</w:t>
      </w:r>
      <w:r>
        <w:rPr>
          <w:rFonts w:ascii="仿宋_GB2312" w:hAnsi="仿宋" w:eastAsia="仿宋_GB2312"/>
          <w:b w:val="0"/>
          <w:bCs w:val="0"/>
          <w:color w:val="000000"/>
          <w:sz w:val="32"/>
          <w:szCs w:val="32"/>
        </w:rPr>
        <w:t>5</w:t>
      </w:r>
      <w:r>
        <w:rPr>
          <w:rFonts w:hint="eastAsia" w:ascii="仿宋_GB2312" w:hAnsi="仿宋" w:eastAsia="仿宋_GB2312"/>
          <w:b w:val="0"/>
          <w:bCs w:val="0"/>
          <w:color w:val="000000"/>
          <w:sz w:val="32"/>
          <w:szCs w:val="32"/>
        </w:rPr>
        <w:t>万元，本区建筑企业所承建的工程获得“鲁班奖”优质工程，工程在区外的给予奖励</w:t>
      </w:r>
      <w:r>
        <w:rPr>
          <w:rFonts w:ascii="仿宋_GB2312" w:hAnsi="仿宋" w:eastAsia="仿宋_GB2312"/>
          <w:b w:val="0"/>
          <w:bCs w:val="0"/>
          <w:color w:val="000000"/>
          <w:sz w:val="32"/>
          <w:szCs w:val="32"/>
        </w:rPr>
        <w:t>10</w:t>
      </w:r>
      <w:r>
        <w:rPr>
          <w:rFonts w:hint="eastAsia" w:ascii="仿宋_GB2312" w:hAnsi="仿宋" w:eastAsia="仿宋_GB2312"/>
          <w:b w:val="0"/>
          <w:bCs w:val="0"/>
          <w:color w:val="000000"/>
          <w:sz w:val="32"/>
          <w:szCs w:val="32"/>
        </w:rPr>
        <w:t>万元。</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hAnsi="仿宋" w:eastAsia="仿宋_GB2312"/>
          <w:b w:val="0"/>
          <w:bCs w:val="0"/>
          <w:color w:val="000000"/>
          <w:sz w:val="32"/>
          <w:szCs w:val="32"/>
        </w:rPr>
      </w:pPr>
      <w:r>
        <w:rPr>
          <w:rFonts w:hint="eastAsia" w:ascii="楷体" w:hAnsi="楷体" w:eastAsia="楷体" w:cs="楷体"/>
          <w:b w:val="0"/>
          <w:bCs w:val="0"/>
          <w:color w:val="000000"/>
          <w:sz w:val="32"/>
          <w:szCs w:val="32"/>
        </w:rPr>
        <w:t>（二）鼓励创建文明工地。</w:t>
      </w:r>
      <w:r>
        <w:rPr>
          <w:rFonts w:hint="eastAsia" w:ascii="仿宋_GB2312" w:hAnsi="仿宋" w:eastAsia="仿宋_GB2312"/>
          <w:b w:val="0"/>
          <w:bCs w:val="0"/>
          <w:color w:val="000000"/>
          <w:sz w:val="32"/>
          <w:szCs w:val="32"/>
        </w:rPr>
        <w:t>在施工合同中约定奖励费用（招投标项目招标文件未设定的，可在合同或补充协议中确定），对被评为省级文明工地的项目，按照《福建省建筑安装工程安全文明施工措施费用管理办法》提取措施费后再增加</w:t>
      </w:r>
      <w:r>
        <w:rPr>
          <w:rFonts w:ascii="仿宋_GB2312" w:hAnsi="仿宋" w:eastAsia="仿宋_GB2312"/>
          <w:b w:val="0"/>
          <w:bCs w:val="0"/>
          <w:color w:val="000000"/>
          <w:sz w:val="32"/>
          <w:szCs w:val="32"/>
        </w:rPr>
        <w:t>30%</w:t>
      </w:r>
      <w:r>
        <w:rPr>
          <w:rFonts w:hint="eastAsia" w:ascii="仿宋_GB2312" w:hAnsi="仿宋" w:eastAsia="仿宋_GB2312"/>
          <w:b w:val="0"/>
          <w:bCs w:val="0"/>
          <w:color w:val="000000"/>
          <w:sz w:val="32"/>
          <w:szCs w:val="32"/>
        </w:rPr>
        <w:t>费用；对被评为市级文明工地的项目，按照《福建省建筑安装工程安全文明施工措施费用管理办法》提取措施费后再增加</w:t>
      </w:r>
      <w:r>
        <w:rPr>
          <w:rFonts w:ascii="仿宋_GB2312" w:hAnsi="仿宋" w:eastAsia="仿宋_GB2312"/>
          <w:b w:val="0"/>
          <w:bCs w:val="0"/>
          <w:color w:val="000000"/>
          <w:sz w:val="32"/>
          <w:szCs w:val="32"/>
        </w:rPr>
        <w:t>20%</w:t>
      </w:r>
      <w:r>
        <w:rPr>
          <w:rFonts w:hint="eastAsia" w:ascii="仿宋_GB2312" w:hAnsi="仿宋" w:eastAsia="仿宋_GB2312"/>
          <w:b w:val="0"/>
          <w:bCs w:val="0"/>
          <w:color w:val="000000"/>
          <w:sz w:val="32"/>
          <w:szCs w:val="32"/>
        </w:rPr>
        <w:t>费用。</w:t>
      </w:r>
    </w:p>
    <w:p>
      <w:pPr>
        <w:widowControl w:val="0"/>
        <w:wordWrap/>
        <w:adjustRightInd w:val="0"/>
        <w:snapToGrid w:val="0"/>
        <w:spacing w:before="0" w:after="0" w:line="336" w:lineRule="auto"/>
        <w:ind w:left="0" w:leftChars="0" w:right="0" w:firstLine="640" w:firstLineChars="200"/>
        <w:jc w:val="both"/>
        <w:textAlignment w:val="auto"/>
        <w:outlineLvl w:val="9"/>
        <w:rPr>
          <w:rFonts w:ascii="黑体" w:hAnsi="黑体" w:eastAsia="黑体" w:cs="黑体"/>
          <w:b w:val="0"/>
          <w:bCs w:val="0"/>
          <w:color w:val="000000"/>
          <w:sz w:val="32"/>
          <w:szCs w:val="32"/>
        </w:rPr>
      </w:pPr>
      <w:r>
        <w:rPr>
          <w:rFonts w:hint="eastAsia" w:ascii="黑体" w:hAnsi="黑体" w:eastAsia="黑体" w:cs="黑体"/>
          <w:b w:val="0"/>
          <w:bCs w:val="0"/>
          <w:color w:val="000000"/>
          <w:sz w:val="32"/>
          <w:szCs w:val="32"/>
        </w:rPr>
        <w:t>九、扶持企业拓展市场</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hAnsi="仿宋" w:eastAsia="仿宋_GB2312"/>
          <w:b w:val="0"/>
          <w:bCs w:val="0"/>
          <w:color w:val="000000"/>
          <w:sz w:val="32"/>
          <w:szCs w:val="32"/>
        </w:rPr>
      </w:pPr>
      <w:r>
        <w:rPr>
          <w:rFonts w:hint="eastAsia" w:ascii="楷体" w:hAnsi="楷体" w:eastAsia="楷体" w:cs="楷体"/>
          <w:b w:val="0"/>
          <w:bCs w:val="0"/>
          <w:color w:val="000000"/>
          <w:sz w:val="32"/>
          <w:szCs w:val="32"/>
        </w:rPr>
        <w:t>（一）支持企业“走出去”。</w:t>
      </w:r>
      <w:r>
        <w:rPr>
          <w:rFonts w:hint="eastAsia" w:ascii="仿宋_GB2312" w:hAnsi="仿宋" w:eastAsia="仿宋_GB2312"/>
          <w:b w:val="0"/>
          <w:bCs w:val="0"/>
          <w:color w:val="000000"/>
          <w:sz w:val="32"/>
          <w:szCs w:val="32"/>
        </w:rPr>
        <w:t>区住建局、市场监督管理局、税务局、人社局等部门对本区企业赴外地承接业务需办理的诚信证明、介绍信、注册登记、评先评优、教育培训和跨区域涉税事项报验管理等业务提供优质服务，支持企业更好地拓展外地建筑施工任务。支持企业参与“一带一路”建设，对本区企业及其经营管理人员在境外完成的工程业绩，在企业资质升级、评优评先及参加招投标资格审查时予以认可。</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hAnsi="仿宋" w:eastAsia="仿宋_GB2312"/>
          <w:b w:val="0"/>
          <w:bCs w:val="0"/>
          <w:color w:val="000000"/>
          <w:sz w:val="32"/>
          <w:szCs w:val="32"/>
        </w:rPr>
      </w:pPr>
      <w:r>
        <w:rPr>
          <w:rFonts w:hint="eastAsia" w:ascii="楷体" w:hAnsi="楷体" w:eastAsia="楷体" w:cs="楷体"/>
          <w:b w:val="0"/>
          <w:bCs w:val="0"/>
          <w:color w:val="000000"/>
          <w:sz w:val="32"/>
          <w:szCs w:val="32"/>
        </w:rPr>
        <w:t>（二）加强协调服务。</w:t>
      </w:r>
      <w:r>
        <w:rPr>
          <w:rFonts w:hint="eastAsia" w:ascii="仿宋_GB2312" w:hAnsi="仿宋" w:eastAsia="仿宋_GB2312"/>
          <w:b w:val="0"/>
          <w:bCs w:val="0"/>
          <w:color w:val="000000"/>
          <w:sz w:val="32"/>
          <w:szCs w:val="32"/>
        </w:rPr>
        <w:t>加强与外地住房和城乡建设部门、税务部门的协调沟通，服务本区建筑企业跨区承接工程业务。</w:t>
      </w:r>
    </w:p>
    <w:p>
      <w:pPr>
        <w:widowControl w:val="0"/>
        <w:wordWrap/>
        <w:adjustRightInd w:val="0"/>
        <w:snapToGrid w:val="0"/>
        <w:spacing w:before="0" w:after="0" w:line="336" w:lineRule="auto"/>
        <w:ind w:left="0" w:leftChars="0" w:right="0" w:firstLine="640" w:firstLineChars="200"/>
        <w:jc w:val="both"/>
        <w:textAlignment w:val="auto"/>
        <w:outlineLvl w:val="9"/>
        <w:rPr>
          <w:rFonts w:ascii="黑体" w:hAnsi="黑体" w:eastAsia="黑体" w:cs="黑体"/>
          <w:b w:val="0"/>
          <w:bCs w:val="0"/>
          <w:color w:val="000000"/>
          <w:sz w:val="32"/>
          <w:szCs w:val="32"/>
        </w:rPr>
      </w:pPr>
      <w:r>
        <w:rPr>
          <w:rFonts w:hint="eastAsia" w:ascii="黑体" w:hAnsi="黑体" w:eastAsia="黑体" w:cs="黑体"/>
          <w:b w:val="0"/>
          <w:bCs w:val="0"/>
          <w:color w:val="000000"/>
          <w:sz w:val="32"/>
          <w:szCs w:val="32"/>
        </w:rPr>
        <w:t>十、加强人才队伍建设</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hAnsi="仿宋" w:eastAsia="仿宋_GB2312"/>
          <w:b w:val="0"/>
          <w:bCs w:val="0"/>
          <w:color w:val="000000"/>
          <w:sz w:val="32"/>
          <w:szCs w:val="32"/>
        </w:rPr>
      </w:pPr>
      <w:r>
        <w:rPr>
          <w:rFonts w:hint="eastAsia" w:ascii="仿宋_GB2312" w:hAnsi="仿宋" w:eastAsia="仿宋_GB2312"/>
          <w:b w:val="0"/>
          <w:bCs w:val="0"/>
          <w:color w:val="000000"/>
          <w:sz w:val="32"/>
          <w:szCs w:val="32"/>
        </w:rPr>
        <w:t>鼓励建筑企业选送初、中级专业技术人员参加培训或学习深造。同时，加大建筑业人才的培养和引进，区住建局、人社局、工商联等职能部门，要加大建筑业初、中、高级人才扶持力度，在职称评定、人才引进等方面给予扶持。对建筑企业技术人员初级职称评审工作由区住建局牵头，区人社局、工商联配合。对非公有制企业技术人员任职资格上，评审材料由建筑企业上报，评审对象学历、身份证、任职证明由区住建局负责核实后，提交区非公企业初级职务评委会评审。其中，对实际工作能力强的员工，学历问题可以适当放宽。</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十一、加强建筑行业监管和服务</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hAnsi="仿宋" w:eastAsia="仿宋_GB2312" w:cs="仿宋"/>
          <w:b w:val="0"/>
          <w:bCs w:val="0"/>
          <w:color w:val="000000"/>
          <w:sz w:val="32"/>
          <w:szCs w:val="32"/>
        </w:rPr>
      </w:pPr>
      <w:r>
        <w:rPr>
          <w:rFonts w:hint="eastAsia" w:ascii="楷体" w:hAnsi="楷体" w:eastAsia="楷体" w:cs="楷体"/>
          <w:b w:val="0"/>
          <w:bCs w:val="0"/>
          <w:color w:val="000000"/>
          <w:sz w:val="32"/>
          <w:szCs w:val="32"/>
        </w:rPr>
        <w:t>（一）指导成立区建筑业协会。</w:t>
      </w:r>
      <w:r>
        <w:rPr>
          <w:rFonts w:hint="eastAsia" w:ascii="仿宋_GB2312" w:hAnsi="仿宋" w:eastAsia="仿宋_GB2312" w:cs="仿宋"/>
          <w:b w:val="0"/>
          <w:bCs w:val="0"/>
          <w:color w:val="000000"/>
          <w:sz w:val="32"/>
          <w:szCs w:val="32"/>
        </w:rPr>
        <w:t>区住建局、区民政局及时指导成立区建筑业协会，加强本区建筑企业技术交流，互通建筑行业前沿信息，反映企业诉求，解决建筑企业面临的困难和问题，加强行业自律，规范本区建筑企业市场行为。</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 w:eastAsia="仿宋_GB2312"/>
          <w:b w:val="0"/>
          <w:bCs w:val="0"/>
          <w:color w:val="000000"/>
          <w:sz w:val="32"/>
          <w:szCs w:val="32"/>
          <w:lang w:eastAsia="zh-CN"/>
        </w:rPr>
      </w:pPr>
      <w:r>
        <w:rPr>
          <w:rFonts w:hint="eastAsia" w:ascii="楷体" w:hAnsi="楷体" w:eastAsia="楷体" w:cs="楷体"/>
          <w:b w:val="0"/>
          <w:bCs w:val="0"/>
          <w:color w:val="000000"/>
          <w:sz w:val="32"/>
          <w:szCs w:val="32"/>
        </w:rPr>
        <w:t>（二）建立协调促进机制。</w:t>
      </w:r>
      <w:r>
        <w:rPr>
          <w:rFonts w:hint="eastAsia" w:ascii="仿宋_GB2312" w:hAnsi="仿宋" w:eastAsia="仿宋_GB2312"/>
          <w:b w:val="0"/>
          <w:bCs w:val="0"/>
          <w:color w:val="000000"/>
          <w:sz w:val="32"/>
          <w:szCs w:val="32"/>
        </w:rPr>
        <w:t>建立区领导挂钩联系</w:t>
      </w:r>
      <w:r>
        <w:rPr>
          <w:rFonts w:hint="eastAsia" w:ascii="仿宋_GB2312" w:hAnsi="仿宋" w:eastAsia="仿宋_GB2312"/>
          <w:b w:val="0"/>
          <w:bCs w:val="0"/>
          <w:color w:val="000000"/>
          <w:sz w:val="32"/>
          <w:szCs w:val="32"/>
          <w:lang w:eastAsia="zh-CN"/>
        </w:rPr>
        <w:t>特级、</w:t>
      </w:r>
      <w:r>
        <w:rPr>
          <w:rFonts w:hint="eastAsia" w:ascii="仿宋_GB2312" w:eastAsia="仿宋_GB2312"/>
          <w:b w:val="0"/>
          <w:bCs w:val="0"/>
          <w:color w:val="000000"/>
          <w:sz w:val="32"/>
          <w:szCs w:val="32"/>
        </w:rPr>
        <w:t>一级</w:t>
      </w:r>
      <w:r>
        <w:rPr>
          <w:rFonts w:hint="eastAsia" w:ascii="仿宋_GB2312" w:eastAsia="仿宋_GB2312"/>
          <w:b w:val="0"/>
          <w:bCs w:val="0"/>
          <w:sz w:val="32"/>
          <w:szCs w:val="32"/>
        </w:rPr>
        <w:t>总承包</w:t>
      </w:r>
      <w:r>
        <w:rPr>
          <w:rFonts w:hint="eastAsia" w:ascii="仿宋_GB2312" w:eastAsia="仿宋_GB2312"/>
          <w:b w:val="0"/>
          <w:bCs w:val="0"/>
          <w:color w:val="000000"/>
          <w:sz w:val="32"/>
          <w:szCs w:val="32"/>
        </w:rPr>
        <w:t>企业</w:t>
      </w:r>
      <w:r>
        <w:rPr>
          <w:rFonts w:hint="eastAsia" w:ascii="仿宋_GB2312" w:hAnsi="仿宋" w:eastAsia="仿宋_GB2312"/>
          <w:b w:val="0"/>
          <w:bCs w:val="0"/>
          <w:color w:val="000000"/>
          <w:sz w:val="32"/>
          <w:szCs w:val="32"/>
        </w:rPr>
        <w:t>制度，帮助协调解决企业</w:t>
      </w:r>
      <w:r>
        <w:rPr>
          <w:rFonts w:hint="eastAsia" w:ascii="仿宋_GB2312" w:hAnsi="仿宋" w:eastAsia="仿宋_GB2312"/>
          <w:b w:val="0"/>
          <w:bCs w:val="0"/>
          <w:color w:val="000000"/>
          <w:sz w:val="32"/>
          <w:szCs w:val="32"/>
          <w:lang w:eastAsia="zh-CN"/>
        </w:rPr>
        <w:t>发展</w:t>
      </w:r>
      <w:r>
        <w:rPr>
          <w:rFonts w:hint="eastAsia" w:ascii="仿宋_GB2312" w:hAnsi="仿宋" w:eastAsia="仿宋_GB2312"/>
          <w:b w:val="0"/>
          <w:bCs w:val="0"/>
          <w:color w:val="000000"/>
          <w:sz w:val="32"/>
          <w:szCs w:val="32"/>
        </w:rPr>
        <w:t>中遇到的问题。</w:t>
      </w:r>
      <w:r>
        <w:rPr>
          <w:rFonts w:hint="eastAsia" w:ascii="仿宋_GB2312" w:hAnsi="仿宋" w:eastAsia="仿宋_GB2312" w:cs="仿宋"/>
          <w:b w:val="0"/>
          <w:bCs w:val="0"/>
          <w:color w:val="000000"/>
          <w:sz w:val="32"/>
          <w:szCs w:val="32"/>
        </w:rPr>
        <w:t>区住建局、区财政局、区招商局等部门要</w:t>
      </w:r>
      <w:r>
        <w:rPr>
          <w:rFonts w:hint="eastAsia" w:ascii="仿宋_GB2312" w:hAnsi="仿宋" w:eastAsia="仿宋_GB2312"/>
          <w:b w:val="0"/>
          <w:bCs w:val="0"/>
          <w:color w:val="000000"/>
          <w:sz w:val="32"/>
          <w:szCs w:val="32"/>
        </w:rPr>
        <w:t>定期或不定期召开专题会议，研究分析建筑业发展状况，调整建筑产业发展扶持力度</w:t>
      </w:r>
      <w:r>
        <w:rPr>
          <w:rFonts w:hint="eastAsia" w:ascii="仿宋_GB2312" w:hAnsi="仿宋" w:eastAsia="仿宋_GB2312"/>
          <w:b w:val="0"/>
          <w:bCs w:val="0"/>
          <w:color w:val="000000"/>
          <w:sz w:val="32"/>
          <w:szCs w:val="32"/>
          <w:lang w:eastAsia="zh-CN"/>
        </w:rPr>
        <w:t>。</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hAnsi="仿宋" w:eastAsia="仿宋_GB2312"/>
          <w:b w:val="0"/>
          <w:bCs w:val="0"/>
          <w:color w:val="000000"/>
          <w:sz w:val="32"/>
          <w:szCs w:val="32"/>
        </w:rPr>
      </w:pPr>
      <w:r>
        <w:rPr>
          <w:rFonts w:hint="eastAsia" w:ascii="楷体" w:hAnsi="楷体" w:eastAsia="楷体" w:cs="楷体"/>
          <w:b w:val="0"/>
          <w:bCs w:val="0"/>
          <w:color w:val="000000"/>
          <w:sz w:val="32"/>
          <w:szCs w:val="32"/>
        </w:rPr>
        <w:t>（三）落实质量安全责任制。</w:t>
      </w:r>
      <w:r>
        <w:rPr>
          <w:rFonts w:hint="eastAsia" w:ascii="仿宋_GB2312" w:hAnsi="仿宋" w:eastAsia="仿宋_GB2312"/>
          <w:b w:val="0"/>
          <w:bCs w:val="0"/>
          <w:color w:val="000000"/>
          <w:sz w:val="32"/>
          <w:szCs w:val="32"/>
        </w:rPr>
        <w:t>对不同地区、企业、项目实行差异化管理</w:t>
      </w:r>
      <w:r>
        <w:rPr>
          <w:rFonts w:hint="eastAsia" w:ascii="仿宋_GB2312" w:hAnsi="仿宋" w:eastAsia="仿宋_GB2312"/>
          <w:b w:val="0"/>
          <w:bCs w:val="0"/>
          <w:color w:val="000000"/>
          <w:sz w:val="32"/>
          <w:szCs w:val="32"/>
          <w:lang w:eastAsia="zh-CN"/>
        </w:rPr>
        <w:t>，</w:t>
      </w:r>
      <w:r>
        <w:rPr>
          <w:rFonts w:hint="eastAsia" w:ascii="仿宋_GB2312" w:hAnsi="仿宋" w:eastAsia="仿宋_GB2312"/>
          <w:b w:val="0"/>
          <w:bCs w:val="0"/>
          <w:color w:val="000000"/>
          <w:sz w:val="32"/>
          <w:szCs w:val="32"/>
        </w:rPr>
        <w:t>落实工程质量安全技术政策，开展专项整治</w:t>
      </w:r>
      <w:r>
        <w:rPr>
          <w:rFonts w:hint="eastAsia" w:ascii="仿宋_GB2312" w:hAnsi="仿宋" w:eastAsia="仿宋_GB2312"/>
          <w:b w:val="0"/>
          <w:bCs w:val="0"/>
          <w:color w:val="000000"/>
          <w:sz w:val="32"/>
          <w:szCs w:val="32"/>
          <w:lang w:eastAsia="zh-CN"/>
        </w:rPr>
        <w:t>，</w:t>
      </w:r>
      <w:r>
        <w:rPr>
          <w:rFonts w:hint="eastAsia" w:ascii="仿宋_GB2312" w:hAnsi="仿宋" w:eastAsia="仿宋_GB2312"/>
          <w:b w:val="0"/>
          <w:bCs w:val="0"/>
          <w:color w:val="000000"/>
          <w:sz w:val="32"/>
          <w:szCs w:val="32"/>
        </w:rPr>
        <w:t>加强建筑材料特别是预拌商品混凝土使用的监管。落实安全生产许可证制度，强化安全生产预警处理机制，严肃事故责任追究。</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hAnsi="仿宋" w:eastAsia="仿宋_GB2312"/>
          <w:b w:val="0"/>
          <w:bCs w:val="0"/>
          <w:color w:val="000000"/>
          <w:sz w:val="32"/>
          <w:szCs w:val="32"/>
        </w:rPr>
      </w:pPr>
      <w:r>
        <w:rPr>
          <w:rFonts w:hint="eastAsia" w:ascii="楷体" w:hAnsi="楷体" w:eastAsia="楷体" w:cs="楷体"/>
          <w:b w:val="0"/>
          <w:bCs w:val="0"/>
          <w:color w:val="000000"/>
          <w:sz w:val="32"/>
          <w:szCs w:val="32"/>
        </w:rPr>
        <w:t>（四）规范市场管理机制。</w:t>
      </w:r>
      <w:r>
        <w:rPr>
          <w:rFonts w:hint="eastAsia" w:ascii="仿宋_GB2312" w:hAnsi="仿宋" w:eastAsia="仿宋_GB2312"/>
          <w:b w:val="0"/>
          <w:bCs w:val="0"/>
          <w:color w:val="000000"/>
          <w:sz w:val="32"/>
          <w:szCs w:val="32"/>
        </w:rPr>
        <w:t>建立建筑市场准入和清出机制，限制和淘汰市场行为不规范、社会信誉差、质量安全水平低的建筑施工、勘察、设计、监理、工程检测等企业和中介机构。理顺招投标监管服务体制，不断完善招投标管理办法，依法加强职能部门对招投标的监管。推行工程量清单计价办法，统一计算规则，完善工程量清单计算办法配套措施。</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hAnsi="仿宋" w:eastAsia="仿宋_GB2312"/>
          <w:b w:val="0"/>
          <w:bCs w:val="0"/>
          <w:color w:val="000000"/>
          <w:sz w:val="32"/>
          <w:szCs w:val="32"/>
        </w:rPr>
      </w:pPr>
      <w:r>
        <w:rPr>
          <w:rFonts w:hint="eastAsia" w:ascii="楷体" w:hAnsi="楷体" w:eastAsia="楷体" w:cs="楷体"/>
          <w:b w:val="0"/>
          <w:bCs w:val="0"/>
          <w:color w:val="000000"/>
          <w:sz w:val="32"/>
          <w:szCs w:val="32"/>
        </w:rPr>
        <w:t>（五）提高建筑企业及企业家待遇。</w:t>
      </w:r>
      <w:r>
        <w:rPr>
          <w:rFonts w:hint="eastAsia" w:ascii="仿宋_GB2312" w:hAnsi="仿宋" w:eastAsia="仿宋_GB2312"/>
          <w:b w:val="0"/>
          <w:bCs w:val="0"/>
          <w:color w:val="000000"/>
          <w:sz w:val="32"/>
          <w:szCs w:val="32"/>
        </w:rPr>
        <w:t>区直有关部门要从建筑业发展的大局出发，积极为企业提供优质服务。区住建局、财政局、税务局、人社局、工商联等部门要定期走访建筑企业，了解企业发展情况，倾听他们的意见和建议，作出较大贡献的企业家，在评先评模等方面予以综合考虑，提高企业知名度。</w:t>
      </w:r>
    </w:p>
    <w:p>
      <w:pPr>
        <w:widowControl w:val="0"/>
        <w:wordWrap/>
        <w:adjustRightInd w:val="0"/>
        <w:snapToGrid w:val="0"/>
        <w:spacing w:before="0" w:after="0" w:line="336" w:lineRule="auto"/>
        <w:ind w:left="0" w:leftChars="0" w:right="0" w:firstLine="640" w:firstLineChars="200"/>
        <w:jc w:val="both"/>
        <w:textAlignment w:val="auto"/>
        <w:outlineLvl w:val="9"/>
        <w:rPr>
          <w:rFonts w:ascii="黑体" w:hAnsi="黑体" w:eastAsia="黑体" w:cs="黑体"/>
          <w:b w:val="0"/>
          <w:bCs w:val="0"/>
          <w:color w:val="000000"/>
          <w:sz w:val="32"/>
          <w:szCs w:val="32"/>
        </w:rPr>
      </w:pPr>
      <w:r>
        <w:rPr>
          <w:rFonts w:hint="eastAsia" w:ascii="黑体" w:hAnsi="黑体" w:eastAsia="黑体" w:cs="黑体"/>
          <w:b w:val="0"/>
          <w:bCs w:val="0"/>
          <w:color w:val="000000"/>
          <w:sz w:val="32"/>
          <w:szCs w:val="32"/>
        </w:rPr>
        <w:t>十二、其他</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hAnsi="仿宋" w:eastAsia="仿宋_GB2312"/>
          <w:b w:val="0"/>
          <w:bCs w:val="0"/>
          <w:sz w:val="32"/>
          <w:szCs w:val="32"/>
        </w:rPr>
      </w:pPr>
      <w:r>
        <w:rPr>
          <w:rFonts w:hint="eastAsia" w:ascii="仿宋_GB2312" w:hAnsi="仿宋" w:eastAsia="仿宋_GB2312"/>
          <w:b w:val="0"/>
          <w:bCs w:val="0"/>
          <w:color w:val="000000"/>
          <w:sz w:val="32"/>
          <w:szCs w:val="32"/>
        </w:rPr>
        <w:t>（一）</w:t>
      </w:r>
      <w:r>
        <w:rPr>
          <w:rFonts w:hint="eastAsia" w:ascii="仿宋_GB2312" w:hAnsi="仿宋" w:eastAsia="仿宋_GB2312"/>
          <w:b w:val="0"/>
          <w:bCs w:val="0"/>
          <w:sz w:val="32"/>
          <w:szCs w:val="32"/>
        </w:rPr>
        <w:t>注册在本区的（含新引进）勘察、设计和监理甲级企业参照总承包一级企业享受优惠政策。专业承包、建筑劳务、建材公司、建筑机械租赁企业以及省外建筑企业在我区设立的分公司在本区年纳税达到以下条件：年纳税</w:t>
      </w:r>
      <w:r>
        <w:rPr>
          <w:rFonts w:ascii="仿宋_GB2312" w:hAnsi="仿宋" w:eastAsia="仿宋_GB2312"/>
          <w:b w:val="0"/>
          <w:bCs w:val="0"/>
          <w:sz w:val="32"/>
          <w:szCs w:val="32"/>
        </w:rPr>
        <w:t>5000</w:t>
      </w:r>
      <w:r>
        <w:rPr>
          <w:rFonts w:hint="eastAsia" w:ascii="仿宋_GB2312" w:hAnsi="仿宋" w:eastAsia="仿宋_GB2312"/>
          <w:b w:val="0"/>
          <w:bCs w:val="0"/>
          <w:sz w:val="32"/>
          <w:szCs w:val="32"/>
        </w:rPr>
        <w:t>万元及以上，参照特级总承包企业享受优惠政策；年纳税</w:t>
      </w:r>
      <w:r>
        <w:rPr>
          <w:rFonts w:ascii="仿宋_GB2312" w:hAnsi="仿宋" w:eastAsia="仿宋_GB2312"/>
          <w:b w:val="0"/>
          <w:bCs w:val="0"/>
          <w:sz w:val="32"/>
          <w:szCs w:val="32"/>
        </w:rPr>
        <w:t>1000</w:t>
      </w:r>
      <w:r>
        <w:rPr>
          <w:rFonts w:hint="eastAsia" w:ascii="仿宋_GB2312" w:hAnsi="仿宋" w:eastAsia="仿宋_GB2312"/>
          <w:b w:val="0"/>
          <w:bCs w:val="0"/>
          <w:sz w:val="32"/>
          <w:szCs w:val="32"/>
        </w:rPr>
        <w:t>万元及以上，参照一级总承包企业享受优惠政策；年纳税</w:t>
      </w:r>
      <w:r>
        <w:rPr>
          <w:rFonts w:ascii="仿宋_GB2312" w:hAnsi="仿宋" w:eastAsia="仿宋_GB2312"/>
          <w:b w:val="0"/>
          <w:bCs w:val="0"/>
          <w:sz w:val="32"/>
          <w:szCs w:val="32"/>
        </w:rPr>
        <w:t>500</w:t>
      </w:r>
      <w:r>
        <w:rPr>
          <w:rFonts w:hint="eastAsia" w:ascii="仿宋_GB2312" w:hAnsi="仿宋" w:eastAsia="仿宋_GB2312"/>
          <w:b w:val="0"/>
          <w:bCs w:val="0"/>
          <w:sz w:val="32"/>
          <w:szCs w:val="32"/>
        </w:rPr>
        <w:t>万元及以上，参照二级总承包企业享受优惠政策。</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hAnsi="仿宋" w:eastAsia="仿宋_GB2312"/>
          <w:b w:val="0"/>
          <w:bCs w:val="0"/>
          <w:color w:val="000000"/>
          <w:sz w:val="32"/>
          <w:szCs w:val="32"/>
        </w:rPr>
      </w:pPr>
      <w:r>
        <w:rPr>
          <w:rFonts w:hint="eastAsia" w:ascii="仿宋_GB2312" w:hAnsi="仿宋" w:eastAsia="仿宋_GB2312"/>
          <w:b w:val="0"/>
          <w:bCs w:val="0"/>
          <w:color w:val="000000"/>
          <w:sz w:val="32"/>
          <w:szCs w:val="32"/>
        </w:rPr>
        <w:t>（二）本意见所涉及的扶持补助，原则上按年度奖励，每年第一季度集中受理企业申报，企业申报应提交申请表、相关数据证明、发生费用发票等相关材料。企业若提交虚假材料骗取资金的，一经发现，需无条件退回扶持资金。</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hAnsi="仿宋" w:eastAsia="仿宋_GB2312"/>
          <w:b w:val="0"/>
          <w:bCs w:val="0"/>
          <w:color w:val="000000"/>
          <w:sz w:val="32"/>
          <w:szCs w:val="32"/>
        </w:rPr>
      </w:pPr>
      <w:r>
        <w:rPr>
          <w:rFonts w:hint="eastAsia" w:ascii="仿宋_GB2312" w:hAnsi="仿宋" w:eastAsia="仿宋_GB2312"/>
          <w:b w:val="0"/>
          <w:bCs w:val="0"/>
          <w:color w:val="000000"/>
          <w:sz w:val="32"/>
          <w:szCs w:val="32"/>
        </w:rPr>
        <w:t>（三）本意见涉及的优惠政策，与省、市、区出台的其他优惠政策类同的，可按就高原则申请享受，但不得重复享受。涉及省、市的各项奖励补助，由所属镇（街）组织企业积极配合向上申请下拨。</w:t>
      </w:r>
    </w:p>
    <w:p>
      <w:pPr>
        <w:widowControl w:val="0"/>
        <w:wordWrap/>
        <w:adjustRightInd w:val="0"/>
        <w:snapToGrid w:val="0"/>
        <w:spacing w:before="0" w:after="0" w:line="336" w:lineRule="auto"/>
        <w:ind w:left="0" w:leftChars="0" w:right="0" w:firstLine="640" w:firstLineChars="200"/>
        <w:jc w:val="both"/>
        <w:textAlignment w:val="auto"/>
        <w:outlineLvl w:val="9"/>
        <w:rPr>
          <w:rFonts w:ascii="仿宋_GB2312" w:hAnsi="仿宋" w:eastAsia="仿宋_GB2312"/>
          <w:b w:val="0"/>
          <w:bCs w:val="0"/>
          <w:color w:val="000000"/>
          <w:sz w:val="32"/>
          <w:szCs w:val="32"/>
        </w:rPr>
      </w:pPr>
      <w:r>
        <w:rPr>
          <w:rFonts w:hint="eastAsia" w:ascii="仿宋_GB2312" w:hAnsi="仿宋" w:eastAsia="仿宋_GB2312"/>
          <w:b w:val="0"/>
          <w:bCs w:val="0"/>
          <w:color w:val="000000"/>
          <w:sz w:val="32"/>
          <w:szCs w:val="32"/>
        </w:rPr>
        <w:t>（四）本意见所涉及的新引进区外企业及入驻区商务大楼的企业，需按本意见的承诺内容与各引进部门、镇（街）等签订书面协议，并严格按约定内容履行到位。</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 w:eastAsia="仿宋_GB2312"/>
          <w:b w:val="0"/>
          <w:bCs w:val="0"/>
          <w:color w:val="000000"/>
          <w:sz w:val="32"/>
          <w:szCs w:val="32"/>
        </w:rPr>
      </w:pPr>
      <w:r>
        <w:rPr>
          <w:rFonts w:hint="eastAsia" w:ascii="仿宋_GB2312" w:hAnsi="仿宋" w:eastAsia="仿宋_GB2312"/>
          <w:b w:val="0"/>
          <w:bCs w:val="0"/>
          <w:color w:val="000000"/>
          <w:sz w:val="32"/>
          <w:szCs w:val="32"/>
        </w:rPr>
        <w:t>（五）本意见由区住建局牵头组织实施和负责解释，自</w:t>
      </w:r>
      <w:r>
        <w:rPr>
          <w:rFonts w:ascii="仿宋_GB2312" w:hAnsi="仿宋" w:eastAsia="仿宋_GB2312"/>
          <w:b w:val="0"/>
          <w:bCs w:val="0"/>
          <w:color w:val="000000"/>
          <w:sz w:val="32"/>
          <w:szCs w:val="32"/>
        </w:rPr>
        <w:t>2019</w:t>
      </w:r>
      <w:r>
        <w:rPr>
          <w:rFonts w:hint="eastAsia" w:ascii="仿宋_GB2312" w:hAnsi="仿宋" w:eastAsia="仿宋_GB2312"/>
          <w:b w:val="0"/>
          <w:bCs w:val="0"/>
          <w:color w:val="000000"/>
          <w:sz w:val="32"/>
          <w:szCs w:val="32"/>
        </w:rPr>
        <w:t>年</w:t>
      </w:r>
      <w:r>
        <w:rPr>
          <w:rFonts w:ascii="仿宋_GB2312" w:hAnsi="仿宋" w:eastAsia="仿宋_GB2312"/>
          <w:b w:val="0"/>
          <w:bCs w:val="0"/>
          <w:color w:val="000000"/>
          <w:sz w:val="32"/>
          <w:szCs w:val="32"/>
        </w:rPr>
        <w:t>1</w:t>
      </w:r>
      <w:r>
        <w:rPr>
          <w:rFonts w:hint="eastAsia" w:ascii="仿宋_GB2312" w:hAnsi="仿宋" w:eastAsia="仿宋_GB2312"/>
          <w:b w:val="0"/>
          <w:bCs w:val="0"/>
          <w:color w:val="000000"/>
          <w:sz w:val="32"/>
          <w:szCs w:val="32"/>
        </w:rPr>
        <w:t>月起实施，本意见之前本区出台促进建筑业发展壮大的规定予以废止，以本意见规定为准。</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 w:eastAsia="仿宋_GB2312"/>
          <w:b w:val="0"/>
          <w:bCs w:val="0"/>
          <w:color w:val="000000"/>
          <w:sz w:val="32"/>
          <w:szCs w:val="32"/>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 w:eastAsia="仿宋_GB2312"/>
          <w:b w:val="0"/>
          <w:bCs w:val="0"/>
          <w:color w:val="000000"/>
          <w:sz w:val="32"/>
          <w:szCs w:val="32"/>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 w:eastAsia="仿宋_GB2312"/>
          <w:b w:val="0"/>
          <w:bCs w:val="0"/>
          <w:color w:val="000000"/>
          <w:sz w:val="32"/>
          <w:szCs w:val="32"/>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 w:eastAsia="仿宋_GB2312"/>
          <w:b w:val="0"/>
          <w:bCs w:val="0"/>
          <w:color w:val="000000"/>
          <w:sz w:val="32"/>
          <w:szCs w:val="32"/>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 w:eastAsia="仿宋_GB2312"/>
          <w:b w:val="0"/>
          <w:bCs w:val="0"/>
          <w:color w:val="000000"/>
          <w:sz w:val="32"/>
          <w:szCs w:val="32"/>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 w:eastAsia="仿宋_GB2312"/>
          <w:b w:val="0"/>
          <w:bCs w:val="0"/>
          <w:color w:val="000000"/>
          <w:sz w:val="13"/>
          <w:szCs w:val="13"/>
        </w:rPr>
      </w:pPr>
    </w:p>
    <w:tbl>
      <w:tblPr>
        <w:tblW w:w="8948"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left w:w="108" w:type="dxa"/>
          <w:right w:w="108" w:type="dxa"/>
        </w:tblCellMar>
      </w:tblPr>
      <w:tblGrid>
        <w:gridCol w:w="894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left w:w="108" w:type="dxa"/>
            <w:right w:w="108" w:type="dxa"/>
          </w:tblCellMar>
        </w:tblPrEx>
        <w:trPr>
          <w:jc w:val="center"/>
        </w:trPr>
        <w:tc>
          <w:tcPr>
            <w:tcW w:w="8948" w:type="dxa"/>
          </w:tcPr>
          <w:p>
            <w:pPr>
              <w:widowControl w:val="0"/>
              <w:wordWrap/>
              <w:adjustRightInd w:val="0"/>
              <w:snapToGrid w:val="0"/>
              <w:spacing w:before="0" w:after="0" w:line="240" w:lineRule="auto"/>
              <w:ind w:left="0" w:leftChars="0" w:right="0"/>
              <w:jc w:val="both"/>
              <w:textAlignment w:val="auto"/>
              <w:outlineLvl w:val="9"/>
              <w:rPr>
                <w:rFonts w:hint="eastAsia" w:ascii="仿宋_GB2312" w:hAnsi="仿宋" w:eastAsia="仿宋_GB2312"/>
                <w:b w:val="0"/>
                <w:bCs w:val="0"/>
                <w:color w:val="000000"/>
                <w:sz w:val="32"/>
                <w:szCs w:val="32"/>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抄送：区委、区人大</w:t>
            </w:r>
            <w:r>
              <w:rPr>
                <w:rFonts w:hint="eastAsia" w:ascii="仿宋_GB2312" w:hAnsi="仿宋_GB2312" w:eastAsia="仿宋_GB2312" w:cs="仿宋_GB2312"/>
                <w:sz w:val="28"/>
                <w:szCs w:val="28"/>
                <w:lang w:val="en-US" w:eastAsia="zh-CN"/>
              </w:rPr>
              <w:t>常委会</w:t>
            </w:r>
            <w:r>
              <w:rPr>
                <w:rFonts w:hint="eastAsia" w:ascii="仿宋_GB2312" w:hAnsi="仿宋_GB2312" w:eastAsia="仿宋_GB2312" w:cs="仿宋_GB2312"/>
                <w:sz w:val="28"/>
                <w:szCs w:val="28"/>
              </w:rPr>
              <w:t>、区政协</w:t>
            </w:r>
            <w:r>
              <w:rPr>
                <w:rFonts w:hint="eastAsia" w:ascii="仿宋_GB2312" w:hAnsi="仿宋_GB2312" w:eastAsia="仿宋_GB2312" w:cs="仿宋_GB2312"/>
                <w:sz w:val="28"/>
                <w:szCs w:val="28"/>
                <w:lang w:val="en-US" w:eastAsia="zh-CN"/>
              </w:rPr>
              <w:t>办公室</w:t>
            </w:r>
            <w:r>
              <w:rPr>
                <w:rFonts w:hint="eastAsia" w:ascii="仿宋_GB2312" w:hAnsi="仿宋_GB2312" w:eastAsia="仿宋_GB2312" w:cs="仿宋_GB2312"/>
                <w:sz w:val="28"/>
                <w:szCs w:val="2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rPr>
          <w:jc w:val="center"/>
        </w:trPr>
        <w:tc>
          <w:tcPr>
            <w:tcW w:w="8948" w:type="dxa"/>
          </w:tcPr>
          <w:p>
            <w:pPr>
              <w:widowControl w:val="0"/>
              <w:wordWrap/>
              <w:adjustRightInd w:val="0"/>
              <w:snapToGrid w:val="0"/>
              <w:spacing w:before="0" w:after="0" w:line="240" w:lineRule="auto"/>
              <w:ind w:left="0" w:leftChars="0" w:right="0"/>
              <w:jc w:val="both"/>
              <w:textAlignment w:val="auto"/>
              <w:outlineLvl w:val="9"/>
              <w:rPr>
                <w:rFonts w:hint="eastAsia" w:ascii="仿宋_GB2312" w:hAnsi="仿宋" w:eastAsia="仿宋_GB2312"/>
                <w:b w:val="0"/>
                <w:bCs w:val="0"/>
                <w:color w:val="000000"/>
                <w:sz w:val="32"/>
                <w:szCs w:val="32"/>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莆田市城厢区人民政府办公室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201</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日印发</w:t>
            </w:r>
            <w:r>
              <w:rPr>
                <w:rFonts w:hint="eastAsia" w:ascii="仿宋_GB2312" w:hAnsi="仿宋_GB2312" w:eastAsia="仿宋_GB2312" w:cs="仿宋_GB2312"/>
                <w:sz w:val="28"/>
                <w:szCs w:val="28"/>
                <w:lang w:val="en-US" w:eastAsia="zh-CN"/>
              </w:rPr>
              <w:t xml:space="preserve">  </w:t>
            </w:r>
          </w:p>
        </w:tc>
      </w:tr>
    </w:tbl>
    <w:p>
      <w:pPr>
        <w:widowControl w:val="0"/>
        <w:wordWrap/>
        <w:adjustRightInd w:val="0"/>
        <w:snapToGrid w:val="0"/>
        <w:spacing w:before="0" w:after="0" w:line="240" w:lineRule="auto"/>
        <w:ind w:left="0" w:leftChars="0" w:right="0" w:firstLine="640" w:firstLineChars="200"/>
        <w:jc w:val="both"/>
        <w:textAlignment w:val="auto"/>
        <w:outlineLvl w:val="9"/>
        <w:rPr>
          <w:rFonts w:hint="eastAsia" w:ascii="仿宋_GB2312" w:hAnsi="仿宋" w:eastAsia="仿宋_GB2312"/>
          <w:color w:val="000000"/>
          <w:sz w:val="2"/>
          <w:szCs w:val="2"/>
        </w:rPr>
      </w:pPr>
    </w:p>
    <w:sectPr>
      <w:headerReference r:id="rId4" w:type="default"/>
      <w:footerReference r:id="rId5" w:type="default"/>
      <w:footerReference r:id="rId6" w:type="even"/>
      <w:pgSz w:w="11906" w:h="16838"/>
      <w:pgMar w:top="2098" w:right="1587" w:bottom="2098" w:left="1587" w:header="851" w:footer="1587" w:gutter="0"/>
      <w:pgNumType w:fmt="numberInDash" w:start="1"/>
      <w:cols w:space="720" w:num="1"/>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MS UI Gothic">
    <w:panose1 w:val="020B0600070205080204"/>
    <w:charset w:val="80"/>
    <w:family w:val="auto"/>
    <w:pitch w:val="default"/>
    <w:sig w:usb0="E00002FF" w:usb1="6AC7FDFB" w:usb2="00000012" w:usb3="00000000" w:csb0="4002009F" w:csb1="DFD70000"/>
  </w:font>
  <w:font w:name="MV Boli">
    <w:panose1 w:val="02000500030200090000"/>
    <w:charset w:val="00"/>
    <w:family w:val="auto"/>
    <w:pitch w:val="default"/>
    <w:sig w:usb0="00000003" w:usb1="00000000" w:usb2="00000100" w:usb3="00000000" w:csb0="00000001" w:csb1="00000000"/>
  </w:font>
  <w:font w:name="Yu Gothic UI">
    <w:altName w:val="Meiryo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 w:name="AmdtSymbols">
    <w:altName w:val="Corbel"/>
    <w:panose1 w:val="02000500000000020004"/>
    <w:charset w:val="00"/>
    <w:family w:val="auto"/>
    <w:pitch w:val="default"/>
    <w:sig w:usb0="00000001"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Meiryo UI">
    <w:panose1 w:val="020B0604030504040204"/>
    <w:charset w:val="80"/>
    <w:family w:val="auto"/>
    <w:pitch w:val="default"/>
    <w:sig w:usb0="E10102FF" w:usb1="EAC7FFFF" w:usb2="00010012" w:usb3="00000000" w:csb0="6002009F" w:csb1="DFD70000"/>
  </w:font>
  <w:font w:name="ESRI Weather">
    <w:altName w:val="Segoe UI Semilight"/>
    <w:panose1 w:val="02000400000000000000"/>
    <w:charset w:val="00"/>
    <w:family w:val="auto"/>
    <w:pitch w:val="default"/>
    <w:sig w:usb0="00000003" w:usb1="00000000" w:usb2="00000000" w:usb3="00000000" w:csb0="00000001" w:csb1="00000000"/>
  </w:font>
  <w:font w:name="ESRI NIMA VMAP1&amp;2 PT">
    <w:altName w:val="PMingLiU-ExtB"/>
    <w:panose1 w:val="02000509000000020004"/>
    <w:charset w:val="00"/>
    <w:family w:val="auto"/>
    <w:pitch w:val="default"/>
    <w:sig w:usb0="00000003" w:usb1="00000000" w:usb2="00000000" w:usb3="00000000" w:csb0="00000001" w:csb1="00000000"/>
  </w:font>
  <w:font w:name="Geneva">
    <w:altName w:val="微软雅黑"/>
    <w:panose1 w:val="00000000000000000000"/>
    <w:charset w:val="01"/>
    <w:family w:val="auto"/>
    <w:pitch w:val="default"/>
    <w:sig w:usb0="00000000" w:usb1="00000000" w:usb2="00000000" w:usb3="00000000" w:csb0="00040001" w:csb1="00000000"/>
  </w:font>
  <w:font w:name="长城小标宋体">
    <w:altName w:val="微软雅黑"/>
    <w:panose1 w:val="02010609010101010101"/>
    <w:charset w:val="86"/>
    <w:family w:val="auto"/>
    <w:pitch w:val="default"/>
    <w:sig w:usb0="00000001" w:usb1="080E0000" w:usb2="00000010" w:usb3="00000000" w:csb0="00040000" w:csb1="00000000"/>
  </w:font>
  <w:font w:name="FangSong_GB2312">
    <w:altName w:val="仿宋_GB2312"/>
    <w:panose1 w:val="02010609030101010101"/>
    <w:charset w:val="86"/>
    <w:family w:val="auto"/>
    <w:pitch w:val="default"/>
    <w:sig w:usb0="00000001" w:usb1="080E0000" w:usb2="00000000" w:usb3="00000000" w:csb0="00040000" w:csb1="00000000"/>
  </w:font>
  <w:font w:name="方正黑体_GBK">
    <w:altName w:val="黑体"/>
    <w:panose1 w:val="00000000000000000000"/>
    <w:charset w:val="86"/>
    <w:family w:val="auto"/>
    <w:pitch w:val="default"/>
    <w:sig w:usb0="00000000" w:usb1="080E0000" w:usb2="00000010" w:usb3="00000000" w:csb0="00040000" w:csb1="00000000"/>
  </w:font>
  <w:font w:name="方正小标宋_GBK">
    <w:altName w:val="黑体"/>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楷体简体">
    <w:altName w:val="宋体"/>
    <w:panose1 w:val="00000000000000000000"/>
    <w:charset w:val="01"/>
    <w:family w:val="auto"/>
    <w:pitch w:val="default"/>
    <w:sig w:usb0="00000000" w:usb1="00000000" w:usb2="00000000" w:usb3="00000000" w:csb0="00040001" w:csb1="00000000"/>
  </w:font>
  <w:font w:name="MS Gothic">
    <w:panose1 w:val="020B0609070205080204"/>
    <w:charset w:val="80"/>
    <w:family w:val="auto"/>
    <w:pitch w:val="default"/>
    <w:sig w:usb0="E00002FF" w:usb1="6AC7FDFB" w:usb2="00000012" w:usb3="00000000" w:csb0="4002009F" w:csb1="DFD70000"/>
  </w:font>
  <w:font w:name="文星标宋">
    <w:altName w:val="宋体"/>
    <w:panose1 w:val="02010609000101010101"/>
    <w:charset w:val="86"/>
    <w:family w:val="auto"/>
    <w:pitch w:val="default"/>
    <w:sig w:usb0="00000001" w:usb1="080E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Dotum">
    <w:panose1 w:val="020B0600000101010101"/>
    <w:charset w:val="81"/>
    <w:family w:val="auto"/>
    <w:pitch w:val="default"/>
    <w:sig w:usb0="B00002AF" w:usb1="69D77CFB" w:usb2="00000030" w:usb3="00000000" w:csb0="4008009F" w:csb1="DFD70000"/>
  </w:font>
  <w:font w:name="MS Mincho">
    <w:panose1 w:val="02020609040205080304"/>
    <w:charset w:val="80"/>
    <w:family w:val="auto"/>
    <w:pitch w:val="default"/>
    <w:sig w:usb0="E00002FF" w:usb1="6AC7FDFB" w:usb2="00000012" w:usb3="00000000" w:csb0="4002009F" w:csb1="DFD70000"/>
  </w:font>
  <w:font w:name="Batang">
    <w:panose1 w:val="0203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Wingdings 3">
    <w:panose1 w:val="05040102010807070707"/>
    <w:charset w:val="02"/>
    <w:family w:val="auto"/>
    <w:pitch w:val="default"/>
    <w:sig w:usb0="00000000" w:usb1="00000000" w:usb2="00000000" w:usb3="00000000" w:csb0="80000000" w:csb1="00000000"/>
  </w:font>
  <w:font w:name="12px">
    <w:altName w:val="微软雅黑"/>
    <w:panose1 w:val="00000000000000000000"/>
    <w:charset w:val="01"/>
    <w:family w:val="auto"/>
    <w:pitch w:val="default"/>
    <w:sig w:usb0="00000000" w:usb1="00000000" w:usb2="00000000" w:usb3="00000000" w:csb0="00040001" w:csb1="00000000"/>
  </w:font>
  <w:font w:name="Arial Unicode MS">
    <w:altName w:val="宋体"/>
    <w:panose1 w:val="020B0604020202020204"/>
    <w:charset w:val="86"/>
    <w:family w:val="auto"/>
    <w:pitch w:val="default"/>
    <w:sig w:usb0="FFFFFFFF" w:usb1="E9FFFFFF" w:usb2="0000003F" w:usb3="00000000" w:csb0="603F01FF" w:csb1="FFFF0000"/>
  </w:font>
  <w:font w:name="Century Gothic">
    <w:panose1 w:val="020B0502020202020204"/>
    <w:charset w:val="00"/>
    <w:family w:val="auto"/>
    <w:pitch w:val="default"/>
    <w:sig w:usb0="00000287" w:usb1="00000000" w:usb2="00000000" w:usb3="00000000" w:csb0="2000009F" w:csb1="DFD70000"/>
  </w:font>
  <w:font w:name="Trebuchet MS">
    <w:panose1 w:val="020B0603020202020204"/>
    <w:charset w:val="00"/>
    <w:family w:val="auto"/>
    <w:pitch w:val="default"/>
    <w:sig w:usb0="00000287" w:usb1="00000000" w:usb2="00000000" w:usb3="00000000" w:csb0="2000009F" w:csb1="00000000"/>
  </w:font>
  <w:font w:name="Cambria Math">
    <w:panose1 w:val="02040503050406030204"/>
    <w:charset w:val="01"/>
    <w:family w:val="auto"/>
    <w:pitch w:val="default"/>
    <w:sig w:usb0="E00002FF" w:usb1="420024FF" w:usb2="00000000" w:usb3="00000000" w:csb0="2000019F" w:csb1="00000000"/>
  </w:font>
  <w:font w:name="Times New Roman'">
    <w:altName w:val="Times New Roman"/>
    <w:panose1 w:val="00000000000000000000"/>
    <w:charset w:val="00"/>
    <w:family w:val="auto"/>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Lucida Sans">
    <w:panose1 w:val="020B0602030504020204"/>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
    <w:altName w:val="Times New Roman"/>
    <w:panose1 w:val="00000000000000000000"/>
    <w:charset w:val="00"/>
    <w:family w:val="auto"/>
    <w:pitch w:val="default"/>
    <w:sig w:usb0="00000000" w:usb1="00000000" w:usb2="00000000" w:usb3="00000000" w:csb0="00040001" w:csb1="00000000"/>
  </w:font>
  <w:font w:name="Lucida Sans Unicode">
    <w:panose1 w:val="020B0602030504020204"/>
    <w:charset w:val="00"/>
    <w:family w:val="auto"/>
    <w:pitch w:val="default"/>
    <w:sig w:usb0="80001AFF" w:usb1="0000396B" w:usb2="00000000" w:usb3="00000000" w:csb0="200000BF" w:csb1="D7F70000"/>
  </w:font>
  <w:font w:name="宋体-方正超大字符集">
    <w:altName w:val="宋体"/>
    <w:panose1 w:val="03000509000000000000"/>
    <w:charset w:val="86"/>
    <w:family w:val="auto"/>
    <w:pitch w:val="default"/>
    <w:sig w:usb0="00000001" w:usb1="080E0000" w:usb2="00000000" w:usb3="00000000" w:csb0="00040000" w:csb1="00000000"/>
  </w:font>
  <w:font w:name="Ђˎ̥">
    <w:altName w:val="Times New Roman"/>
    <w:panose1 w:val="00000000000000000000"/>
    <w:charset w:val="00"/>
    <w:family w:val="auto"/>
    <w:pitch w:val="default"/>
    <w:sig w:usb0="00000000" w:usb1="00000000" w:usb2="00000000" w:usb3="00000000" w:csb0="00040001" w:csb1="00000000"/>
  </w:font>
  <w:font w:name="隶书">
    <w:panose1 w:val="02010509060101010101"/>
    <w:charset w:val="86"/>
    <w:family w:val="auto"/>
    <w:pitch w:val="default"/>
    <w:sig w:usb0="00000001"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 w:name="方正仿宋_GBK">
    <w:altName w:val="宋体"/>
    <w:panose1 w:val="03000509000000000000"/>
    <w:charset w:val="86"/>
    <w:family w:val="auto"/>
    <w:pitch w:val="default"/>
    <w:sig w:usb0="00000001" w:usb1="080E0000" w:usb2="00000010" w:usb3="00000000" w:csb0="00040000" w:csb1="00000000"/>
  </w:font>
  <w:font w:name="Verdana">
    <w:panose1 w:val="020B0604030504040204"/>
    <w:charset w:val="00"/>
    <w:family w:val="auto"/>
    <w:pitch w:val="default"/>
    <w:sig w:usb0="A10006FF" w:usb1="4000205B" w:usb2="00000010" w:usb3="00000000" w:csb0="2000019F" w:csb1="00000000"/>
  </w:font>
  <w:font w:name="瀹嬩綋">
    <w:altName w:val="微软雅黑"/>
    <w:panose1 w:val="00000000000000000000"/>
    <w:charset w:val="01"/>
    <w:family w:val="auto"/>
    <w:pitch w:val="default"/>
    <w:sig w:usb0="00000000" w:usb1="00000000" w:usb2="00000000" w:usb3="00000000" w:csb0="00040001" w:csb1="00000000"/>
  </w:font>
  <w:font w:name="Microsoft YaHei微软雅黑黑体宋体">
    <w:altName w:val="宋体"/>
    <w:panose1 w:val="00000000000000000000"/>
    <w:charset w:val="01"/>
    <w:family w:val="auto"/>
    <w:pitch w:val="default"/>
    <w:sig w:usb0="00000000" w:usb1="00000000" w:usb2="00000000" w:usb3="00000000" w:csb0="00040001" w:csb1="00000000"/>
  </w:font>
  <w:font w:name="Malgun Gothic">
    <w:panose1 w:val="020B0503020000020004"/>
    <w:charset w:val="81"/>
    <w:family w:val="auto"/>
    <w:pitch w:val="default"/>
    <w:sig w:usb0="900002AF" w:usb1="01D77CFB" w:usb2="00000012" w:usb3="00000000" w:csb0="00080001" w:csb1="00000000"/>
  </w:font>
  <w:font w:name="Microsoft YaHei UI">
    <w:panose1 w:val="020B0503020204020204"/>
    <w:charset w:val="86"/>
    <w:family w:val="auto"/>
    <w:pitch w:val="default"/>
    <w:sig w:usb0="80000287" w:usb1="28CF3C52" w:usb2="00000016" w:usb3="00000000" w:csb0="0004001F" w:csb1="00000000"/>
  </w:font>
  <w:font w:name="Gulim">
    <w:panose1 w:val="020B0600000101010101"/>
    <w:charset w:val="81"/>
    <w:family w:val="auto"/>
    <w:pitch w:val="default"/>
    <w:sig w:usb0="B00002AF" w:usb1="69D77CFB" w:usb2="00000030" w:usb3="00000000" w:csb0="4008009F" w:csb1="DFD70000"/>
  </w:font>
  <w:font w:name="PMingLiU">
    <w:panose1 w:val="02020500000000000000"/>
    <w:charset w:val="88"/>
    <w:family w:val="auto"/>
    <w:pitch w:val="default"/>
    <w:sig w:usb0="A00002FF" w:usb1="28CFFCFA" w:usb2="00000016" w:usb3="00000000" w:csb0="00100001" w:csb1="00000000"/>
  </w:font>
  <w:font w:name="方正仿宋简体">
    <w:altName w:val="微软雅黑"/>
    <w:panose1 w:val="00000000000000000000"/>
    <w:charset w:val="01"/>
    <w:family w:val="auto"/>
    <w:pitch w:val="default"/>
    <w:sig w:usb0="00000000" w:usb1="00000000" w:usb2="00000000" w:usb3="00000000" w:csb0="00040001" w:csb1="00000000"/>
  </w:font>
  <w:font w:name="方正黑体简体">
    <w:altName w:val="黑体"/>
    <w:panose1 w:val="00000000000000000000"/>
    <w:charset w:val="01"/>
    <w:family w:val="auto"/>
    <w:pitch w:val="default"/>
    <w:sig w:usb0="00000000" w:usb1="00000000" w:usb2="00000000" w:usb3="00000000" w:csb0="00040001" w:csb1="00000000"/>
  </w:font>
  <w:font w:name="寰蒋闆呴粦">
    <w:altName w:val="微软雅黑"/>
    <w:panose1 w:val="00000000000000000000"/>
    <w:charset w:val="01"/>
    <w:family w:val="auto"/>
    <w:pitch w:val="default"/>
    <w:sig w:usb0="00000000" w:usb1="00000000" w:usb2="00000000" w:usb3="00000000" w:csb0="00040001" w:csb1="00000000"/>
  </w:font>
  <w:font w:name="方正楷体_GBK">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KaiTi_GB2312">
    <w:altName w:val="宋体"/>
    <w:panose1 w:val="00000000000000000000"/>
    <w:charset w:val="86"/>
    <w:family w:val="auto"/>
    <w:pitch w:val="default"/>
    <w:sig w:usb0="00000000" w:usb1="00000000" w:usb2="00000000" w:usb3="00000000" w:csb0="00040001" w:csb1="00000000"/>
  </w:font>
  <w:font w:name="MT Extra">
    <w:panose1 w:val="05050102010205020202"/>
    <w:charset w:val="00"/>
    <w:family w:val="auto"/>
    <w:pitch w:val="default"/>
    <w:sig w:usb0="80000000" w:usb1="00000000" w:usb2="00000000" w:usb3="00000000" w:csb0="00000000" w:csb1="00000000"/>
  </w:font>
  <w:font w:name="Arial Narrow">
    <w:panose1 w:val="020B0606020202030204"/>
    <w:charset w:val="00"/>
    <w:family w:val="auto"/>
    <w:pitch w:val="default"/>
    <w:sig w:usb0="00000287" w:usb1="00000800" w:usb2="00000000" w:usb3="00000000" w:csb0="2000009F" w:csb1="DFD70000"/>
  </w:font>
  <w:font w:name="Microsoft Sans Serif">
    <w:panose1 w:val="020B0604020202020204"/>
    <w:charset w:val="00"/>
    <w:family w:val="auto"/>
    <w:pitch w:val="default"/>
    <w:sig w:usb0="E1002AFF" w:usb1="C0000002" w:usb2="00000008" w:usb3="00000000" w:csb0="200101FF" w:csb1="20280000"/>
  </w:font>
  <w:font w:name="\5b8b\4f53">
    <w:altName w:val="微软雅黑"/>
    <w:panose1 w:val="00000000000000000000"/>
    <w:charset w:val="01"/>
    <w:family w:val="auto"/>
    <w:pitch w:val="default"/>
    <w:sig w:usb0="00000000" w:usb1="00000000" w:usb2="00000000" w:usb3="00000000" w:csb0="00040001" w:csb1="00000000"/>
  </w:font>
  <w:font w:name="Microsoft Simsun">
    <w:altName w:val="微软雅黑"/>
    <w:panose1 w:val="00000000000000000000"/>
    <w:charset w:val="01"/>
    <w:family w:val="auto"/>
    <w:pitch w:val="default"/>
    <w:sig w:usb0="00000000" w:usb1="00000000" w:usb2="00000000" w:usb3="00000000" w:csb0="00040001" w:csb1="00000000"/>
  </w:font>
  <w:font w:name="方正大标宋简体">
    <w:altName w:val="宋体"/>
    <w:panose1 w:val="02010601030101010101"/>
    <w:charset w:val="86"/>
    <w:family w:val="auto"/>
    <w:pitch w:val="default"/>
    <w:sig w:usb0="00000001" w:usb1="080E0000" w:usb2="00000010" w:usb3="00000000" w:csb0="00040000" w:csb1="00000000"/>
  </w:font>
  <w:font w:name="Franklin Gothic Medium">
    <w:panose1 w:val="020B0603020102020204"/>
    <w:charset w:val="00"/>
    <w:family w:val="auto"/>
    <w:pitch w:val="default"/>
    <w:sig w:usb0="00000287"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Corbel">
    <w:panose1 w:val="020B0503020204020204"/>
    <w:charset w:val="00"/>
    <w:family w:val="auto"/>
    <w:pitch w:val="default"/>
    <w:sig w:usb0="A00002EF" w:usb1="4000A44B" w:usb2="00000000" w:usb3="00000000" w:csb0="2000019F" w:csb1="00000000"/>
  </w:font>
  <w:font w:name="Vrinda">
    <w:panose1 w:val="020B0502040204020203"/>
    <w:charset w:val="00"/>
    <w:family w:val="auto"/>
    <w:pitch w:val="default"/>
    <w:sig w:usb0="00010003"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Segoe UI Symbol">
    <w:panose1 w:val="020B0502040204020203"/>
    <w:charset w:val="00"/>
    <w:family w:val="auto"/>
    <w:pitch w:val="default"/>
    <w:sig w:usb0="8000006F" w:usb1="1200FBEF" w:usb2="0064C000" w:usb3="00000002" w:csb0="00000001" w:csb1="40000000"/>
  </w:font>
  <w:font w:name="Meiryo UI">
    <w:panose1 w:val="020B0604030504040204"/>
    <w:charset w:val="0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Times New Roman" w:hAnsi="Times New Roman" w:eastAsia="宋体" w:cs="Times New Roman"/>
        <w:kern w:val="2"/>
        <w:sz w:val="18"/>
        <w:szCs w:val="18"/>
        <w:lang w:val="en-US" w:eastAsia="zh-CN" w:bidi="ar-SA"/>
      </w:rPr>
      <w:pict>
        <v:shape id="文本框2"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framePr w:wrap="around" w:hAnchor="margin" w:vAnchor="text" w:xAlign="center" w:y="1"/>
      <w:rPr>
        <w:rStyle w:val="8"/>
      </w:rPr>
    </w:pPr>
    <w:r>
      <w:rPr>
        <w:rStyle w:val="8"/>
      </w:rPr>
      <w:fldChar w:fldCharType="begin"/>
    </w:r>
    <w:r>
      <w:rPr>
        <w:rStyle w:val="8"/>
      </w:rPr>
      <w:instrText xml:space="preserve">PAGE  </w:instrText>
    </w:r>
    <w:r>
      <w:rPr>
        <w:rStyle w:val="8"/>
      </w:rPr>
      <w:fldChar w:fldCharType="separate"/>
    </w:r>
    <w:r>
      <w:rPr>
        <w:rStyle w:val="8"/>
      </w:rPr>
      <w:t>- 8 -</w:t>
    </w:r>
    <w:r>
      <w:rPr>
        <w:rStyle w:val="8"/>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62"/>
  <w:displayHorizontalDrawingGridEvery w:val="1"/>
  <w:displayVerticalDrawingGridEvery w:val="2"/>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1"/>
    <w:qFormat/>
    <w:uiPriority w:val="99"/>
    <w:pPr>
      <w:spacing w:before="100" w:beforeAutospacing="1" w:after="100" w:afterAutospacing="1"/>
      <w:jc w:val="left"/>
      <w:outlineLvl w:val="2"/>
    </w:pPr>
    <w:rPr>
      <w:rFonts w:ascii="宋体" w:hAnsi="宋体"/>
      <w:b/>
      <w:kern w:val="0"/>
      <w:sz w:val="27"/>
      <w:szCs w:val="27"/>
    </w:rPr>
  </w:style>
  <w:style w:type="paragraph" w:styleId="3">
    <w:name w:val="heading 4"/>
    <w:basedOn w:val="1"/>
    <w:next w:val="1"/>
    <w:link w:val="12"/>
    <w:qFormat/>
    <w:uiPriority w:val="99"/>
    <w:pPr>
      <w:spacing w:before="100" w:beforeAutospacing="1" w:after="100" w:afterAutospacing="1"/>
      <w:jc w:val="left"/>
      <w:outlineLvl w:val="3"/>
    </w:pPr>
    <w:rPr>
      <w:rFonts w:ascii="宋体" w:hAnsi="宋体"/>
      <w:b/>
      <w:kern w:val="0"/>
      <w:sz w:val="24"/>
    </w:rPr>
  </w:style>
  <w:style w:type="character" w:default="1" w:styleId="7">
    <w:name w:val="Default Paragraph Font"/>
    <w:semiHidden/>
    <w:qFormat/>
    <w:uiPriority w:val="99"/>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jc w:val="left"/>
    </w:pPr>
    <w:rPr>
      <w:kern w:val="0"/>
      <w:sz w:val="24"/>
    </w:rPr>
  </w:style>
  <w:style w:type="character" w:styleId="8">
    <w:name w:val="page number"/>
    <w:basedOn w:val="7"/>
    <w:qFormat/>
    <w:uiPriority w:val="99"/>
    <w:rPr>
      <w:rFonts w:cs="Times New Roman"/>
    </w:rPr>
  </w:style>
  <w:style w:type="paragraph" w:customStyle="1" w:styleId="9">
    <w:name w:val="样式1"/>
    <w:basedOn w:val="1"/>
    <w:qFormat/>
    <w:uiPriority w:val="99"/>
    <w:pPr>
      <w:spacing w:line="560" w:lineRule="exact"/>
      <w:ind w:firstLine="200" w:firstLineChars="200"/>
    </w:pPr>
    <w:rPr>
      <w:rFonts w:ascii="仿宋_GB2312" w:hAnsi="华文仿宋" w:eastAsia="仿宋_GB2312"/>
      <w:bCs/>
      <w:sz w:val="32"/>
      <w:szCs w:val="32"/>
    </w:rPr>
  </w:style>
  <w:style w:type="paragraph" w:customStyle="1" w:styleId="10">
    <w:name w:val="标题A"/>
    <w:basedOn w:val="1"/>
    <w:qFormat/>
    <w:uiPriority w:val="99"/>
    <w:pPr>
      <w:spacing w:line="560" w:lineRule="exact"/>
      <w:jc w:val="center"/>
    </w:pPr>
    <w:rPr>
      <w:rFonts w:ascii="黑体" w:hAnsi="华文仿宋" w:eastAsia="黑体"/>
      <w:b/>
      <w:sz w:val="44"/>
      <w:szCs w:val="44"/>
    </w:rPr>
  </w:style>
  <w:style w:type="character" w:customStyle="1" w:styleId="11">
    <w:name w:val="Heading 3 Char"/>
    <w:basedOn w:val="7"/>
    <w:link w:val="2"/>
    <w:semiHidden/>
    <w:qFormat/>
    <w:locked/>
    <w:uiPriority w:val="99"/>
    <w:rPr>
      <w:rFonts w:cs="Times New Roman"/>
      <w:b/>
      <w:bCs/>
      <w:kern w:val="2"/>
      <w:sz w:val="32"/>
      <w:szCs w:val="32"/>
    </w:rPr>
  </w:style>
  <w:style w:type="character" w:customStyle="1" w:styleId="12">
    <w:name w:val="Heading 4 Char"/>
    <w:basedOn w:val="7"/>
    <w:link w:val="3"/>
    <w:semiHidden/>
    <w:qFormat/>
    <w:locked/>
    <w:uiPriority w:val="99"/>
    <w:rPr>
      <w:rFonts w:ascii="Cambria" w:hAnsi="Cambria" w:eastAsia="宋体" w:cs="Times New Roman"/>
      <w:b/>
      <w:bCs/>
      <w:kern w:val="2"/>
      <w:sz w:val="28"/>
      <w:szCs w:val="28"/>
    </w:rPr>
  </w:style>
  <w:style w:type="character" w:customStyle="1" w:styleId="13">
    <w:name w:val="Footer Char"/>
    <w:basedOn w:val="7"/>
    <w:link w:val="4"/>
    <w:semiHidden/>
    <w:qFormat/>
    <w:locked/>
    <w:uiPriority w:val="99"/>
    <w:rPr>
      <w:rFonts w:cs="Times New Roman"/>
      <w:kern w:val="2"/>
      <w:sz w:val="18"/>
      <w:szCs w:val="18"/>
    </w:rPr>
  </w:style>
  <w:style w:type="character" w:customStyle="1" w:styleId="14">
    <w:name w:val="Header Char"/>
    <w:basedOn w:val="7"/>
    <w:link w:val="5"/>
    <w:semiHidden/>
    <w:qFormat/>
    <w:locked/>
    <w:uiPriority w:val="99"/>
    <w:rPr>
      <w:rFonts w:cs="Times New Roman"/>
      <w:kern w:val="2"/>
      <w:sz w:val="18"/>
    </w:rPr>
  </w:style>
  <w:style w:type="character" w:customStyle="1" w:styleId="15">
    <w:name w:val="Header Char1"/>
    <w:basedOn w:val="7"/>
    <w:link w:val="5"/>
    <w:semiHidden/>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12</Pages>
  <Words>989</Words>
  <Characters>5640</Characters>
  <Lines>0</Lines>
  <Paragraphs>0</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2019-01-18T00:27:00Z</dcterms:created>
  <dc:creator>asus</dc:creator>
  <cp:lastModifiedBy>lenovo</cp:lastModifiedBy>
  <cp:lastPrinted>2019-03-22T10:44:41Z</cp:lastPrinted>
  <dcterms:modified xsi:type="dcterms:W3CDTF">2019-03-22T10:45:07Z</dcterms:modified>
  <dc:title>莆城建〔2016〕120号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