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val="0"/>
        <w:snapToGrid w:val="0"/>
        <w:spacing w:before="0" w:after="0" w:line="240" w:lineRule="auto"/>
        <w:ind w:left="0" w:leftChars="0" w:right="0" w:firstLine="0" w:firstLineChars="0"/>
        <w:textAlignment w:val="center"/>
        <w:outlineLvl w:val="9"/>
        <w:rPr>
          <w:color w:val="000000"/>
          <w:sz w:val="32"/>
          <w:szCs w:val="32"/>
        </w:rPr>
      </w:pPr>
      <w:r>
        <w:rPr>
          <w:rFonts w:hint="eastAsia" w:ascii="黑体" w:hAnsi="黑体" w:eastAsia="黑体" w:cs="黑体"/>
          <w:color w:val="000000"/>
          <w:kern w:val="0"/>
          <w:sz w:val="32"/>
          <w:szCs w:val="32"/>
        </w:rPr>
        <w:t>附件</w:t>
      </w:r>
    </w:p>
    <w:p>
      <w:pPr>
        <w:widowControl/>
        <w:wordWrap/>
        <w:adjustRightInd w:val="0"/>
        <w:snapToGrid w:val="0"/>
        <w:spacing w:before="0" w:after="0" w:line="240" w:lineRule="auto"/>
        <w:ind w:left="0" w:leftChars="0" w:right="0" w:firstLine="0" w:firstLineChars="0"/>
        <w:jc w:val="center"/>
        <w:textAlignment w:val="center"/>
        <w:outlineLvl w:val="9"/>
        <w:rPr>
          <w:rFonts w:ascii="方正小标宋简体" w:eastAsia="方正小标宋简体"/>
          <w:sz w:val="40"/>
          <w:szCs w:val="40"/>
        </w:rPr>
      </w:pPr>
      <w:r>
        <w:rPr>
          <w:rFonts w:hint="eastAsia" w:ascii="方正小标宋简体" w:hAnsi="方正小标宋简体" w:eastAsia="方正小标宋简体" w:cs="方正小标宋简体"/>
          <w:color w:val="000000"/>
          <w:kern w:val="0"/>
          <w:sz w:val="40"/>
          <w:szCs w:val="40"/>
        </w:rPr>
        <w:t>莆田市</w:t>
      </w:r>
      <w:r>
        <w:rPr>
          <w:rFonts w:hint="eastAsia" w:ascii="方正小标宋简体" w:hAnsi="方正小标宋简体" w:eastAsia="方正小标宋简体" w:cs="方正小标宋简体"/>
          <w:color w:val="000000"/>
          <w:kern w:val="0"/>
          <w:sz w:val="40"/>
          <w:szCs w:val="40"/>
          <w:lang w:eastAsia="zh-CN"/>
        </w:rPr>
        <w:t>城厢区</w:t>
      </w:r>
      <w:r>
        <w:rPr>
          <w:rFonts w:hint="eastAsia" w:ascii="方正小标宋简体" w:hAnsi="方正小标宋简体" w:eastAsia="方正小标宋简体" w:cs="方正小标宋简体"/>
          <w:color w:val="000000"/>
          <w:kern w:val="0"/>
          <w:sz w:val="40"/>
          <w:szCs w:val="40"/>
        </w:rPr>
        <w:t>营商环境创新改革事项清单</w:t>
      </w:r>
    </w:p>
    <w:tbl>
      <w:tblPr>
        <w:tblStyle w:val="9"/>
        <w:tblW w:w="138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8" w:type="dxa"/>
          <w:bottom w:w="0" w:type="dxa"/>
          <w:right w:w="28" w:type="dxa"/>
        </w:tblCellMar>
      </w:tblPr>
      <w:tblGrid>
        <w:gridCol w:w="667"/>
        <w:gridCol w:w="2081"/>
        <w:gridCol w:w="7374"/>
        <w:gridCol w:w="1567"/>
        <w:gridCol w:w="21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67" w:hRule="atLeast"/>
          <w:tblHeader/>
          <w:jc w:val="center"/>
        </w:trPr>
        <w:tc>
          <w:tcPr>
            <w:tcW w:w="6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序号</w:t>
            </w:r>
          </w:p>
        </w:tc>
        <w:tc>
          <w:tcPr>
            <w:tcW w:w="208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改革事项</w:t>
            </w:r>
          </w:p>
        </w:tc>
        <w:tc>
          <w:tcPr>
            <w:tcW w:w="73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改革创新举措</w:t>
            </w:r>
          </w:p>
        </w:tc>
        <w:tc>
          <w:tcPr>
            <w:tcW w:w="156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完成时限</w:t>
            </w:r>
          </w:p>
        </w:tc>
        <w:tc>
          <w:tcPr>
            <w:tcW w:w="215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黑体" w:hAnsi="黑体" w:eastAsia="黑体"/>
                <w:color w:val="000000"/>
                <w:sz w:val="28"/>
                <w:szCs w:val="28"/>
              </w:rPr>
            </w:pPr>
            <w:r>
              <w:rPr>
                <w:rFonts w:ascii="黑体" w:hAnsi="黑体" w:eastAsia="黑体"/>
                <w:color w:val="000000"/>
                <w:kern w:val="0"/>
                <w:sz w:val="28"/>
                <w:szCs w:val="28"/>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94"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sz w:val="24"/>
                <w:szCs w:val="24"/>
              </w:rPr>
            </w:pPr>
            <w:r>
              <w:rPr>
                <w:rFonts w:eastAsia="仿宋_GB2312"/>
                <w:b/>
                <w:color w:val="000000"/>
                <w:kern w:val="0"/>
                <w:sz w:val="24"/>
                <w:szCs w:val="24"/>
              </w:rPr>
              <w:t>一、深化市场化改革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开展“一照多址”改革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对符合条件的市场主体（不含分支机构和个体工商户），在其住所同一县级行政区划内允许办理多个经营场所登记，免于办理分支机构设立登记。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推行“一业一证”改革试点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探索建立行业综合许可制度，配套建立职责明确、分工协作、多元共治的行业综合监管制度，推广应用行业综合许可证，实现“一证准营”。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审改办、行政服务中心、市场监管局、各行业主管部门，</w:t>
            </w:r>
            <w:r>
              <w:rPr>
                <w:rFonts w:hint="eastAsia" w:hAnsi="仿宋_GB2312"/>
                <w:color w:val="000000"/>
                <w:kern w:val="0"/>
                <w:sz w:val="24"/>
                <w:szCs w:val="24"/>
                <w:lang w:eastAsia="zh-CN"/>
              </w:rPr>
              <w:t>区</w:t>
            </w:r>
            <w:r>
              <w:rPr>
                <w:rFonts w:hAnsi="仿宋_GB2312"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清除政府采购和招投标领域设置的隐形门槛和壁垒</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）制定政府采购文件范本，细化编制规则，指导采购人、采购代理机构规范编制采购文件，提高采购需求的合法合规性。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）推行电子化监管，将监管要求嵌入采购系统，对采购需求的倾向性、歧视性词条进行智能辅助排查。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w:t>
            </w:r>
            <w:r>
              <w:rPr>
                <w:rFonts w:hint="eastAsia" w:hAnsi="仿宋_GB2312"/>
                <w:color w:val="000000"/>
                <w:kern w:val="0"/>
                <w:sz w:val="24"/>
                <w:szCs w:val="24"/>
                <w:lang w:eastAsia="zh-CN"/>
              </w:rPr>
              <w:t>配合上级</w:t>
            </w:r>
            <w:r>
              <w:rPr>
                <w:rFonts w:hint="eastAsia" w:ascii="仿宋_GB2312" w:hAnsi="仿宋_GB2312" w:eastAsia="仿宋_GB2312" w:cs="仿宋_GB2312"/>
                <w:color w:val="000000"/>
                <w:kern w:val="0"/>
                <w:sz w:val="24"/>
                <w:szCs w:val="24"/>
              </w:rPr>
              <w:t>完善工程领域招投标在线监管平台功能，发挥“大数据分析”功能，对隐形门槛和壁垒重点监督和防控。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推动招投标领域数字证书兼容互认</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推动企业数字证书及电子签章在招投标领域互认互调，推动市内</w:t>
            </w:r>
            <w:r>
              <w:rPr>
                <w:rFonts w:eastAsia="仿宋_GB2312"/>
                <w:color w:val="000000"/>
                <w:kern w:val="0"/>
                <w:sz w:val="24"/>
                <w:szCs w:val="24"/>
              </w:rPr>
              <w:t>CA</w:t>
            </w:r>
            <w:r>
              <w:rPr>
                <w:rFonts w:hAnsi="仿宋_GB2312" w:eastAsia="仿宋_GB2312"/>
                <w:color w:val="000000"/>
                <w:kern w:val="0"/>
                <w:sz w:val="24"/>
                <w:szCs w:val="24"/>
              </w:rPr>
              <w:t>证书与周边省市的</w:t>
            </w:r>
            <w:r>
              <w:rPr>
                <w:rFonts w:eastAsia="仿宋_GB2312"/>
                <w:color w:val="000000"/>
                <w:kern w:val="0"/>
                <w:sz w:val="24"/>
                <w:szCs w:val="24"/>
              </w:rPr>
              <w:t>CA</w:t>
            </w:r>
            <w:r>
              <w:rPr>
                <w:rFonts w:hAnsi="仿宋_GB2312" w:eastAsia="仿宋_GB2312"/>
                <w:color w:val="000000"/>
                <w:kern w:val="0"/>
                <w:sz w:val="24"/>
                <w:szCs w:val="24"/>
              </w:rPr>
              <w:t>证书兼容互认，不断拓展</w:t>
            </w:r>
            <w:r>
              <w:rPr>
                <w:rFonts w:eastAsia="仿宋_GB2312"/>
                <w:color w:val="000000"/>
                <w:kern w:val="0"/>
                <w:sz w:val="24"/>
                <w:szCs w:val="24"/>
              </w:rPr>
              <w:t>CA</w:t>
            </w:r>
            <w:r>
              <w:rPr>
                <w:rFonts w:hAnsi="仿宋_GB2312" w:eastAsia="仿宋_GB2312"/>
                <w:color w:val="000000"/>
                <w:kern w:val="0"/>
                <w:sz w:val="24"/>
                <w:szCs w:val="24"/>
              </w:rPr>
              <w:t>证书移动数字证书认证、扫码签章、扫码加解密等功能。</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行政服务中心、发改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6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5</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推进客货运输电子证照全省互认</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）依托省级电子证照系统，生成道路运输领域的电子证照。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交通</w:t>
            </w:r>
            <w:r>
              <w:rPr>
                <w:rFonts w:hint="eastAsia" w:hAnsi="仿宋_GB2312"/>
                <w:color w:val="000000"/>
                <w:kern w:val="0"/>
                <w:sz w:val="24"/>
                <w:szCs w:val="24"/>
                <w:lang w:eastAsia="zh-CN"/>
              </w:rPr>
              <w:t>运输</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53"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升级改造省水路运政管理信息系统，生成国内水路运输经营许可证、船舶营业运输证电子证照，推进国内水路运输经营许可证、船舶营业运输证电子证照全省范围内互认。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交通</w:t>
            </w:r>
            <w:r>
              <w:rPr>
                <w:rFonts w:hint="eastAsia" w:hAnsi="仿宋_GB2312"/>
                <w:color w:val="000000"/>
                <w:kern w:val="0"/>
                <w:sz w:val="24"/>
                <w:szCs w:val="24"/>
                <w:lang w:eastAsia="zh-CN"/>
              </w:rPr>
              <w:t>运输</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27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进一步便利企业开立银行账户</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w:t>
            </w:r>
            <w:r>
              <w:rPr>
                <w:rFonts w:hint="eastAsia" w:ascii="仿宋_GB2312" w:hAnsi="仿宋_GB2312" w:eastAsia="仿宋_GB2312" w:cs="仿宋_GB2312"/>
                <w:color w:val="000000"/>
                <w:kern w:val="0"/>
                <w:sz w:val="24"/>
                <w:szCs w:val="24"/>
              </w:rPr>
              <w:t>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建立在线推送银行预约账号模式。企业通过“一网通办”平台填写开户申请信息，经企业授权同意，“一网通办”平台将相关信息经由人行推送至企业选定的开户银行，开户银行生成企业账户预约账号、账号有效期等信息，并通过数据共享平台推送给税务、社保、医保、公积金等部门。开户银行根据预约需求，按规定为企业开立账户后，将相关信息通过数据共享平台推送至相关部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市场监管局、医保</w:t>
            </w:r>
            <w:r>
              <w:rPr>
                <w:rFonts w:hint="eastAsia" w:hAnsi="仿宋_GB2312"/>
                <w:color w:val="000000"/>
                <w:kern w:val="0"/>
                <w:sz w:val="24"/>
                <w:szCs w:val="24"/>
                <w:lang w:eastAsia="zh-CN"/>
              </w:rPr>
              <w:t>分</w:t>
            </w:r>
            <w:r>
              <w:rPr>
                <w:rFonts w:hAnsi="仿宋_GB2312" w:eastAsia="仿宋_GB2312"/>
                <w:color w:val="000000"/>
                <w:kern w:val="0"/>
                <w:sz w:val="24"/>
                <w:szCs w:val="24"/>
              </w:rPr>
              <w:t>局</w:t>
            </w:r>
            <w:r>
              <w:rPr>
                <w:rFonts w:hint="eastAsia" w:hAnsi="仿宋_GB2312"/>
                <w:color w:val="000000"/>
                <w:kern w:val="0"/>
                <w:sz w:val="24"/>
                <w:szCs w:val="24"/>
                <w:lang w:eastAsia="zh-CN"/>
              </w:rPr>
              <w:t>、</w:t>
            </w:r>
            <w:r>
              <w:rPr>
                <w:rFonts w:hAnsi="仿宋_GB2312" w:eastAsia="仿宋_GB2312"/>
                <w:color w:val="000000"/>
                <w:kern w:val="0"/>
                <w:sz w:val="24"/>
                <w:szCs w:val="24"/>
              </w:rPr>
              <w:t>人社局、税务局、数字办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Ansi="仿宋_GB2312" w:eastAsia="仿宋_GB2312"/>
                <w:color w:val="000000"/>
                <w:kern w:val="0"/>
                <w:sz w:val="24"/>
                <w:szCs w:val="24"/>
              </w:rPr>
              <w:t>开展企业住所（经营场所）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标准化登记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通过部门数据共享，实现住所（经营场所）使用公安二维码标准地址库。</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试行企业登记信息变更网上办理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开发全省统一的电子签名系统，将其应用于变更登记服务，实现企业登记信息变更的全程网办，并加载至省网上办事大厅企业开办“一网通办”平台中。</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市场监管局、数字办、公安</w:t>
            </w:r>
            <w:r>
              <w:rPr>
                <w:rFonts w:hint="eastAsia" w:hAnsi="仿宋_GB2312"/>
                <w:color w:val="000000"/>
                <w:kern w:val="0"/>
                <w:sz w:val="24"/>
                <w:szCs w:val="24"/>
                <w:lang w:eastAsia="zh-CN"/>
              </w:rPr>
              <w:t>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3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推行企业年度报告“多报合一”改革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40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相关部门依法依规共享企业年度报告有关信息，企业只需填报一次年度报告，无需再向多个部门重复报送相关信息，实现涉及市场监管、社保、税务、海关等事项年度报告的“多报合一”。</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w:t>
            </w:r>
            <w:r>
              <w:rPr>
                <w:rFonts w:eastAsia="仿宋_GB2312"/>
                <w:color w:val="000000"/>
                <w:kern w:val="0"/>
                <w:sz w:val="24"/>
                <w:szCs w:val="24"/>
              </w:rPr>
              <w:t>6</w:t>
            </w:r>
            <w:r>
              <w:rPr>
                <w:rFonts w:hAnsi="仿宋_GB2312" w:eastAsia="仿宋_GB2312"/>
                <w:color w:val="000000"/>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市场监管局、人社局、税务局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91"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10</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建立市场准入效能评估制度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）动态调整完善评估指标体系。以国家发展改革委、商务部发布的年度市场准入负面清单为基准，配合省里动态调整完善《福建省市场准入效能评估指标体系（试点版）》。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96"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hAnsi="仿宋_GB2312"/>
                <w:color w:val="000000"/>
                <w:kern w:val="0"/>
                <w:sz w:val="24"/>
                <w:szCs w:val="24"/>
                <w:lang w:eastAsia="zh-CN"/>
              </w:rPr>
              <w:t>配合上级</w:t>
            </w:r>
            <w:r>
              <w:rPr>
                <w:rFonts w:hAnsi="仿宋_GB2312" w:eastAsia="仿宋_GB2312"/>
                <w:color w:val="000000"/>
                <w:kern w:val="0"/>
                <w:sz w:val="24"/>
                <w:szCs w:val="24"/>
              </w:rPr>
              <w:t>开展市场准入效能评估。依托市场准入效能评估平台，全程、全量自动归集各级行政主体审批数据，开展年度评估，充分运用全省市场准入效能评估年度报告，客观反映各级行政主体、各重点行业市场准入效能，督促问题整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85"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eastAsia="仿宋_GB2312"/>
                <w:color w:val="000000"/>
                <w:sz w:val="24"/>
                <w:szCs w:val="24"/>
                <w:lang w:eastAsia="zh-CN"/>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落实案例归集制度。</w:t>
            </w:r>
            <w:r>
              <w:rPr>
                <w:rFonts w:hint="eastAsia" w:ascii="仿宋_GB2312" w:hAnsi="仿宋_GB2312" w:cs="仿宋_GB2312"/>
                <w:color w:val="000000"/>
                <w:kern w:val="0"/>
                <w:sz w:val="24"/>
                <w:szCs w:val="24"/>
                <w:lang w:eastAsia="zh-CN"/>
              </w:rPr>
              <w:t>配合上级</w:t>
            </w:r>
            <w:r>
              <w:rPr>
                <w:rFonts w:hint="eastAsia" w:ascii="仿宋_GB2312" w:hAnsi="仿宋_GB2312" w:eastAsia="仿宋_GB2312" w:cs="仿宋_GB2312"/>
                <w:color w:val="000000"/>
                <w:kern w:val="0"/>
                <w:sz w:val="24"/>
                <w:szCs w:val="24"/>
              </w:rPr>
              <w:t>加强对除12345便民服务平台、“政企直通车”、中国裁判文书网、评估平台门户网站之外收集到的隐性壁垒线索进行全面归集</w:t>
            </w:r>
            <w:r>
              <w:rPr>
                <w:rFonts w:hint="eastAsia" w:ascii="仿宋_GB2312" w:hAnsi="仿宋_GB2312" w:cs="仿宋_GB2312"/>
                <w:color w:val="000000"/>
                <w:kern w:val="0"/>
                <w:sz w:val="24"/>
                <w:szCs w:val="24"/>
                <w:lang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4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允许对无人售货商店等新业态发放食品经营许可（备案）</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在保障食品安全和符合相关法律法规规定的前提下，经充分研究论证和开展风险评估，对无人售货商店的经营者发放食品经营许可或办理食品经营备案。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9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bookmarkStart w:id="0" w:name="_Hlk107994747"/>
            <w:r>
              <w:rPr>
                <w:rFonts w:hAnsi="仿宋_GB2312" w:eastAsia="仿宋_GB2312"/>
                <w:color w:val="000000"/>
                <w:kern w:val="0"/>
                <w:sz w:val="24"/>
                <w:szCs w:val="24"/>
              </w:rPr>
              <w:t>进一步探索完善知识产权市场化交易机制</w:t>
            </w:r>
            <w:bookmarkEnd w:id="0"/>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spacing w:val="6"/>
                <w:kern w:val="0"/>
                <w:sz w:val="24"/>
                <w:szCs w:val="24"/>
              </w:rPr>
              <w:t>加强知识产权评估机构培训，完善知识产权交易机制，</w:t>
            </w:r>
            <w:bookmarkStart w:id="1" w:name="_Hlk107994790"/>
            <w:r>
              <w:rPr>
                <w:rFonts w:hAnsi="仿宋_GB2312" w:eastAsia="仿宋_GB2312"/>
                <w:color w:val="000000"/>
                <w:spacing w:val="6"/>
                <w:kern w:val="0"/>
                <w:sz w:val="24"/>
                <w:szCs w:val="24"/>
              </w:rPr>
              <w:t>加强知识产权公共服务体系建设，建立知识产权交易服务平</w:t>
            </w:r>
            <w:r>
              <w:rPr>
                <w:rFonts w:hAnsi="仿宋_GB2312" w:eastAsia="仿宋_GB2312"/>
                <w:color w:val="000000"/>
                <w:kern w:val="0"/>
                <w:sz w:val="24"/>
                <w:szCs w:val="24"/>
              </w:rPr>
              <w:t>台。</w:t>
            </w:r>
            <w:bookmarkEnd w:id="1"/>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46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积极争取赋予科研人员职务科技成果所有权或长期使用权试点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Ansi="仿宋_GB2312" w:eastAsia="仿宋_GB2312"/>
                <w:color w:val="000000"/>
                <w:kern w:val="0"/>
                <w:sz w:val="24"/>
                <w:szCs w:val="24"/>
              </w:rPr>
            </w:pPr>
            <w:r>
              <w:rPr>
                <w:sz w:val="24"/>
                <w:szCs w:val="24"/>
              </w:rPr>
              <w:t>建立赋予科研人员职务科技成果所有权或长期使用权的机制和模式。积极向省里争取，从我</w:t>
            </w:r>
            <w:r>
              <w:rPr>
                <w:rFonts w:hint="eastAsia"/>
                <w:sz w:val="24"/>
                <w:szCs w:val="24"/>
                <w:lang w:eastAsia="zh-CN"/>
              </w:rPr>
              <w:t>区</w:t>
            </w:r>
            <w:r>
              <w:rPr>
                <w:sz w:val="24"/>
                <w:szCs w:val="24"/>
              </w:rPr>
              <w:t>由国家设立的高等院校和科研院所中，选择改革动力足、创新能力强、转化成效显著以及示范作用突出的单位开展试点。试点单位可以将利用财政性资金形成或接受企业、其他社会组织委托形成的归单位所有的职务科技成果所有权赋予科技成果完成人（团队），试点单位与科技成果完成人（团队）成为共同所有权人。试点单位可赋予科技成果完成人（团队）不低于10年的职务科技成果长期使用权。</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科技局</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、教育局、财政局、人社局、市场监管局、税务局、商务局</w:t>
            </w:r>
            <w:r>
              <w:rPr>
                <w:rFonts w:hint="eastAsia" w:hAnsi="仿宋_GB2312"/>
                <w:color w:val="000000"/>
                <w:kern w:val="0"/>
                <w:sz w:val="24"/>
                <w:szCs w:val="24"/>
                <w:lang w:eastAsia="zh-CN"/>
              </w:rPr>
              <w:t>，区</w:t>
            </w:r>
            <w:r>
              <w:rPr>
                <w:rFonts w:hAnsi="仿宋_GB2312" w:eastAsia="仿宋_GB2312"/>
                <w:color w:val="000000"/>
                <w:kern w:val="0"/>
                <w:sz w:val="24"/>
                <w:szCs w:val="24"/>
              </w:rPr>
              <w:t>委人才办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14</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培育数据要素</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市场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）按照全省对数据交易市场主体的统一规划布局，积极配合探索建立数据资产评估、登记结算、交易撮合、流通服务等市场运营体系。</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spacing w:val="-11"/>
                <w:kern w:val="0"/>
                <w:sz w:val="24"/>
                <w:szCs w:val="24"/>
                <w:lang w:eastAsia="zh-CN"/>
              </w:rPr>
              <w:t>区</w:t>
            </w:r>
            <w:r>
              <w:rPr>
                <w:rFonts w:hAnsi="仿宋_GB2312" w:eastAsia="仿宋_GB2312"/>
                <w:color w:val="000000"/>
                <w:spacing w:val="-11"/>
                <w:kern w:val="0"/>
                <w:sz w:val="24"/>
                <w:szCs w:val="24"/>
              </w:rPr>
              <w:t>数字办、金融办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）加强网络数据安全监管，规范网络安全和数据安全信息通报工作，建立统分结合、共享联动的信息通报制度，加强政务数据共享安全风险信息的获取、分析、研判、预警工作。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spacing w:val="-11"/>
                <w:kern w:val="0"/>
                <w:sz w:val="24"/>
                <w:szCs w:val="24"/>
                <w:lang w:eastAsia="zh-CN"/>
              </w:rPr>
              <w:t>区</w:t>
            </w:r>
            <w:r>
              <w:rPr>
                <w:rFonts w:hAnsi="仿宋_GB2312" w:eastAsia="仿宋_GB2312"/>
                <w:color w:val="000000"/>
                <w:spacing w:val="-11"/>
                <w:kern w:val="0"/>
                <w:sz w:val="24"/>
                <w:szCs w:val="24"/>
              </w:rPr>
              <w:t>委网信办，</w:t>
            </w:r>
            <w:r>
              <w:rPr>
                <w:rFonts w:hint="eastAsia" w:hAnsi="仿宋_GB2312"/>
                <w:color w:val="000000"/>
                <w:spacing w:val="-11"/>
                <w:kern w:val="0"/>
                <w:sz w:val="24"/>
                <w:szCs w:val="24"/>
                <w:lang w:eastAsia="zh-CN"/>
              </w:rPr>
              <w:t>区</w:t>
            </w:r>
            <w:r>
              <w:rPr>
                <w:rFonts w:hAnsi="仿宋_GB2312" w:eastAsia="仿宋_GB2312"/>
                <w:color w:val="000000"/>
                <w:spacing w:val="-11"/>
                <w:kern w:val="0"/>
                <w:sz w:val="24"/>
                <w:szCs w:val="24"/>
              </w:rPr>
              <w:t>数字办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有序开放公共管理和服务机构产生的部分公共数据</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建立公共数据开放、开发机制，并依托省公共数据资源开发服务平台、公共数据资源统一开放平台，稳妥有序向社会开放公共数据，推动公共数据资源场景式开发利用。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委网信办</w:t>
            </w:r>
            <w:r>
              <w:rPr>
                <w:rFonts w:hint="eastAsia" w:hAnsi="仿宋_GB2312"/>
                <w:color w:val="000000"/>
                <w:kern w:val="0"/>
                <w:sz w:val="24"/>
                <w:szCs w:val="24"/>
                <w:lang w:eastAsia="zh-CN"/>
              </w:rPr>
              <w:t>、区</w:t>
            </w:r>
            <w:r>
              <w:rPr>
                <w:rFonts w:hAnsi="仿宋_GB2312" w:eastAsia="仿宋_GB2312"/>
                <w:color w:val="000000"/>
                <w:kern w:val="0"/>
                <w:sz w:val="24"/>
                <w:szCs w:val="24"/>
              </w:rPr>
              <w:t>数字办等相关部门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16</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清理设置非必要条件排斥潜在竞争者行为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eastAsia="仿宋_GB2312"/>
                <w:color w:val="000000"/>
                <w:sz w:val="24"/>
                <w:szCs w:val="24"/>
              </w:rPr>
            </w:pPr>
            <w:r>
              <w:rPr>
                <w:rFonts w:hAnsi="仿宋_GB2312" w:eastAsia="仿宋_GB2312"/>
                <w:color w:val="000000"/>
                <w:spacing w:val="-6"/>
                <w:kern w:val="0"/>
                <w:sz w:val="24"/>
                <w:szCs w:val="24"/>
              </w:rPr>
              <w:t>（</w:t>
            </w:r>
            <w:r>
              <w:rPr>
                <w:rFonts w:eastAsia="仿宋_GB2312"/>
                <w:color w:val="000000"/>
                <w:spacing w:val="-6"/>
                <w:kern w:val="0"/>
                <w:sz w:val="24"/>
                <w:szCs w:val="24"/>
              </w:rPr>
              <w:t>1</w:t>
            </w:r>
            <w:r>
              <w:rPr>
                <w:rFonts w:hAnsi="仿宋_GB2312" w:eastAsia="仿宋_GB2312"/>
                <w:color w:val="000000"/>
                <w:spacing w:val="-6"/>
                <w:kern w:val="0"/>
                <w:sz w:val="24"/>
                <w:szCs w:val="24"/>
              </w:rPr>
              <w:t>）推动行业监管部门应用工程领域招投标在线监管平台加强监督，优化线上投诉功能，提升排斥潜在竞争者行为线索征集系统功能。</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相关行业监管部门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5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）在采购公告阶段提前公开采购文件，自觉接受市场主体监督，保障市场主体平等参与权利。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推进招投标全流程电子化改革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sz w:val="24"/>
                <w:szCs w:val="24"/>
              </w:rPr>
            </w:pPr>
            <w:r>
              <w:rPr>
                <w:rFonts w:hint="eastAsia"/>
                <w:sz w:val="24"/>
                <w:szCs w:val="24"/>
                <w:lang w:eastAsia="zh-CN"/>
              </w:rPr>
              <w:t>配合上级</w:t>
            </w:r>
            <w:r>
              <w:rPr>
                <w:sz w:val="24"/>
                <w:szCs w:val="24"/>
              </w:rPr>
              <w:t>推动电子招投标交易平台与国库支付系统信息共享，实现工程支付网上查询</w:t>
            </w:r>
            <w:r>
              <w:rPr>
                <w:rFonts w:hint="eastAsia"/>
                <w:sz w:val="24"/>
                <w:szCs w:val="24"/>
                <w:lang w:eastAsia="zh-CN"/>
              </w:rPr>
              <w:t>；</w:t>
            </w:r>
            <w:r>
              <w:rPr>
                <w:sz w:val="24"/>
                <w:szCs w:val="24"/>
              </w:rPr>
              <w:t>推动各交易中心提升交易平台功能，与周边地区之间开展远程异地评标。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、行政服务中心、财政局，相关行业监管部门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18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kern w:val="0"/>
                <w:sz w:val="24"/>
                <w:szCs w:val="24"/>
              </w:rPr>
            </w:pPr>
            <w:r>
              <w:rPr>
                <w:rFonts w:eastAsia="仿宋_GB2312"/>
                <w:color w:val="000000"/>
                <w:kern w:val="0"/>
                <w:sz w:val="24"/>
                <w:szCs w:val="24"/>
              </w:rPr>
              <w:t>统一工程领域招投标行业交易规则</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pacing w:val="-6"/>
                <w:kern w:val="0"/>
                <w:sz w:val="24"/>
                <w:szCs w:val="24"/>
              </w:rPr>
              <w:t>各行业主管部门完善工程领域招投标交易规则、电子范本和监督规则。探索建立“评定分离”等制度，强化招标人自主权。</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，相关行业监管部门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19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sz w:val="24"/>
                <w:szCs w:val="24"/>
              </w:rPr>
            </w:pPr>
            <w:r>
              <w:rPr>
                <w:rFonts w:hAnsi="仿宋_GB2312" w:eastAsia="仿宋_GB2312"/>
                <w:color w:val="000000"/>
                <w:kern w:val="0"/>
                <w:sz w:val="24"/>
                <w:szCs w:val="24"/>
              </w:rPr>
              <w:t>优化水利工程招投标手续</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取消水利工程施工招标条件中“监理单位已确定”的条件。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sz w:val="24"/>
                <w:szCs w:val="24"/>
              </w:rPr>
            </w:pPr>
            <w:r>
              <w:rPr>
                <w:rFonts w:eastAsia="仿宋_GB2312"/>
                <w:color w:val="000000"/>
                <w:spacing w:val="-6"/>
                <w:kern w:val="0"/>
                <w:sz w:val="24"/>
                <w:szCs w:val="24"/>
              </w:rPr>
              <w:t>2022</w:t>
            </w:r>
            <w:r>
              <w:rPr>
                <w:rFonts w:hAnsi="仿宋_GB2312" w:eastAsia="仿宋_GB2312"/>
                <w:color w:val="000000"/>
                <w:spacing w:val="-6"/>
                <w:kern w:val="0"/>
                <w:sz w:val="24"/>
                <w:szCs w:val="24"/>
              </w:rPr>
              <w:t>年</w:t>
            </w:r>
            <w:r>
              <w:rPr>
                <w:rFonts w:eastAsia="仿宋_GB2312"/>
                <w:color w:val="000000"/>
                <w:spacing w:val="-6"/>
                <w:kern w:val="0"/>
                <w:sz w:val="24"/>
                <w:szCs w:val="24"/>
              </w:rPr>
              <w:t>6</w:t>
            </w:r>
            <w:r>
              <w:rPr>
                <w:rFonts w:hAnsi="仿宋_GB2312" w:eastAsia="仿宋_GB2312"/>
                <w:color w:val="000000"/>
                <w:spacing w:val="-6"/>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left"/>
              <w:textAlignment w:val="center"/>
              <w:rPr>
                <w:rFonts w:eastAsia="仿宋_GB2312"/>
                <w:color w:val="000000"/>
                <w:kern w:val="0"/>
                <w:sz w:val="24"/>
                <w:szCs w:val="24"/>
              </w:rPr>
            </w:pPr>
            <w:r>
              <w:rPr>
                <w:rFonts w:eastAsia="仿宋_GB2312"/>
                <w:color w:val="000000"/>
                <w:kern w:val="0"/>
                <w:sz w:val="24"/>
                <w:szCs w:val="24"/>
              </w:rPr>
              <w:t>降低行业从业要求，简化相关手续</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24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清理对职业资格培训和技能培训类民办学校在管理人员从业经验、培训工种数量等方面设定的不合理要求。</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09"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二、加强法治化保障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83"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21</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探索实行惩罚性赔偿和内部举报人制度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pacing w:val="-6"/>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）实行生态环境违法行为举报奖励制度，充分发挥社会监督作用，对举报严重违法违规行为的有功人员按照《莆田市生态环境违法行为举报奖励暂行办法》予以奖励和严格保护。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28" w:hRule="atLeast"/>
          <w:jc w:val="center"/>
        </w:trPr>
        <w:tc>
          <w:tcPr>
            <w:tcW w:w="667" w:type="dxa"/>
            <w:vMerge w:val="continue"/>
            <w:tcBorders>
              <w:left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pacing w:val="-6"/>
                <w:sz w:val="24"/>
                <w:szCs w:val="24"/>
              </w:rPr>
            </w:pPr>
            <w:r>
              <w:rPr>
                <w:rFonts w:hAnsi="仿宋_GB2312" w:eastAsia="仿宋_GB2312"/>
                <w:color w:val="000000"/>
                <w:spacing w:val="-6"/>
                <w:kern w:val="0"/>
                <w:sz w:val="24"/>
                <w:szCs w:val="24"/>
              </w:rPr>
              <w:t>（</w:t>
            </w:r>
            <w:r>
              <w:rPr>
                <w:rFonts w:eastAsia="仿宋_GB2312"/>
                <w:color w:val="000000"/>
                <w:spacing w:val="-6"/>
                <w:kern w:val="0"/>
                <w:sz w:val="24"/>
                <w:szCs w:val="24"/>
              </w:rPr>
              <w:t>2</w:t>
            </w:r>
            <w:r>
              <w:rPr>
                <w:rFonts w:hAnsi="仿宋_GB2312" w:eastAsia="仿宋_GB2312"/>
                <w:color w:val="000000"/>
                <w:spacing w:val="-6"/>
                <w:kern w:val="0"/>
                <w:sz w:val="24"/>
                <w:szCs w:val="24"/>
              </w:rPr>
              <w:t>）鼓励和支持生产经营单位从业人员安全生产监督工作，对受理的安全生产举报，以及提供的线索，按照规定核查属实的，及时给予奖励。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应急</w:t>
            </w:r>
            <w:r>
              <w:rPr>
                <w:rFonts w:hint="eastAsia" w:hAnsi="仿宋_GB2312"/>
                <w:color w:val="000000"/>
                <w:kern w:val="0"/>
                <w:sz w:val="24"/>
                <w:szCs w:val="24"/>
                <w:lang w:eastAsia="zh-CN"/>
              </w:rPr>
              <w:t>管理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）依据省市场监管局制定的市场监管领域重大违法行为举报奖励工作规范，明确职责，规范举报奖励发放流程，鼓励社会各界积极举报市场监管领域重大违法行为，推动社会共治。</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w:t>
            </w:r>
            <w:r>
              <w:rPr>
                <w:rFonts w:eastAsia="仿宋_GB2312"/>
                <w:color w:val="000000"/>
                <w:kern w:val="0"/>
                <w:sz w:val="24"/>
                <w:szCs w:val="24"/>
              </w:rPr>
              <w:t>6</w:t>
            </w:r>
            <w:r>
              <w:rPr>
                <w:rFonts w:hAnsi="仿宋_GB2312" w:eastAsia="仿宋_GB2312"/>
                <w:color w:val="000000"/>
                <w:kern w:val="0"/>
                <w:sz w:val="24"/>
                <w:szCs w:val="24"/>
              </w:rPr>
              <w:t>月底前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r>
              <w:rPr>
                <w:rFonts w:eastAsia="仿宋_GB2312"/>
                <w:color w:val="000000"/>
                <w:kern w:val="0"/>
                <w:sz w:val="24"/>
                <w:szCs w:val="24"/>
              </w:rPr>
              <w:t>21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r>
              <w:rPr>
                <w:rFonts w:hAnsi="仿宋_GB2312" w:eastAsia="仿宋_GB2312"/>
                <w:color w:val="000000"/>
                <w:spacing w:val="-17"/>
                <w:kern w:val="0"/>
                <w:sz w:val="24"/>
                <w:szCs w:val="24"/>
              </w:rPr>
              <w:t>探索实行惩罚性赔偿和内部举报人制</w:t>
            </w:r>
            <w:r>
              <w:rPr>
                <w:rFonts w:hAnsi="仿宋_GB2312" w:eastAsia="仿宋_GB2312"/>
                <w:color w:val="000000"/>
                <w:kern w:val="0"/>
                <w:sz w:val="24"/>
                <w:szCs w:val="24"/>
              </w:rPr>
              <w:t>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0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4</w:t>
            </w:r>
            <w:r>
              <w:rPr>
                <w:rFonts w:hAnsi="仿宋_GB2312" w:eastAsia="仿宋_GB2312"/>
                <w:color w:val="000000"/>
                <w:kern w:val="0"/>
                <w:sz w:val="24"/>
                <w:szCs w:val="24"/>
              </w:rPr>
              <w:t>）实施药品监管领域内部举报人激励机制，鼓励企业内部人员举报违法行为，并给予双倍奖励。</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09"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bookmarkStart w:id="2" w:name="_Hlk107995293"/>
            <w:r>
              <w:rPr>
                <w:rFonts w:eastAsia="仿宋_GB2312"/>
                <w:color w:val="000000"/>
                <w:kern w:val="0"/>
                <w:sz w:val="24"/>
                <w:szCs w:val="24"/>
              </w:rPr>
              <w:t>22</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在部分重点领域建立事前事中事后全流程监管机制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推动建设项目环境管理工作重心从事前审批向事中事后监管转变，依托“智能+转办”“智能+执法”“智能+信用”等数字生态技术手段，加强环评与执法、协同与共治、监管与自律等联动，加快监管行业、监管阶段、监管内容等精准化规范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生态环境局</w:t>
            </w:r>
          </w:p>
        </w:tc>
      </w:tr>
      <w:bookmarkEnd w:id="2"/>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89"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制定出台《福建省生产建设项目水土保持监督管理工作指南（试行）》，落实福建省生产建设项目水土保持事前事中事后信用监管制度。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r>
              <w:rPr>
                <w:rFonts w:eastAsia="仿宋_GB2312"/>
                <w:color w:val="000000"/>
                <w:sz w:val="24"/>
                <w:szCs w:val="24"/>
              </w:rPr>
              <w:t>23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pacing w:val="6"/>
                <w:kern w:val="0"/>
                <w:sz w:val="24"/>
                <w:szCs w:val="24"/>
              </w:rPr>
              <w:t>推行“双随机、一公开”一体化监管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建立健全综合性检查对象和执法检查人员名录库，动态更新维护。</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7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探索形成市场主体全生命周期监管链</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建设“一企一码”，归集应用市场监管部门企业信用信息，实施企业信用风险分类管理，并与“双随机、一公开”监管有机融合，实现差异化监管、精准化监管。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25</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探索对重点行业从业人员建立个人信用体系</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）按照省里统一部署，探索将医疗、教育、工程建设等重点领域从业人员的执业行为记入个人信用记录，共享至全国信用信息共享平台。对存在严重不良行为的，依法实施失信惩戒。</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卫健</w:t>
            </w:r>
            <w:r>
              <w:rPr>
                <w:rFonts w:hint="eastAsia" w:hAnsi="仿宋_GB2312"/>
                <w:color w:val="000000"/>
                <w:kern w:val="0"/>
                <w:sz w:val="24"/>
                <w:szCs w:val="24"/>
                <w:lang w:eastAsia="zh-CN"/>
              </w:rPr>
              <w:t>局</w:t>
            </w:r>
            <w:r>
              <w:rPr>
                <w:rFonts w:hAnsi="仿宋_GB2312" w:eastAsia="仿宋_GB2312"/>
                <w:color w:val="000000"/>
                <w:kern w:val="0"/>
                <w:sz w:val="24"/>
                <w:szCs w:val="24"/>
              </w:rPr>
              <w:t>、教育局、住建局、发改</w:t>
            </w:r>
            <w:r>
              <w:rPr>
                <w:rFonts w:hint="eastAsia" w:hAnsi="仿宋_GB2312"/>
                <w:color w:val="000000"/>
                <w:kern w:val="0"/>
                <w:sz w:val="24"/>
                <w:szCs w:val="24"/>
                <w:lang w:eastAsia="zh-CN"/>
              </w:rPr>
              <w:t>局</w:t>
            </w:r>
            <w:r>
              <w:rPr>
                <w:rFonts w:hAnsi="仿宋_GB2312" w:eastAsia="仿宋_GB2312"/>
                <w:color w:val="000000"/>
                <w:kern w:val="0"/>
                <w:sz w:val="24"/>
                <w:szCs w:val="24"/>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改造升级“福建省建设执业注册人员个人信用评价系统”，并将信用评价信息共享至全国信用信息共享平台。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推广应用信用承诺制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hAnsi="仿宋_GB2312"/>
                <w:color w:val="000000"/>
                <w:kern w:val="0"/>
                <w:sz w:val="24"/>
                <w:szCs w:val="24"/>
                <w:lang w:eastAsia="zh-CN"/>
              </w:rPr>
              <w:t>配合上级</w:t>
            </w:r>
            <w:r>
              <w:rPr>
                <w:rFonts w:hAnsi="仿宋_GB2312" w:eastAsia="仿宋_GB2312"/>
                <w:color w:val="000000"/>
                <w:kern w:val="0"/>
                <w:sz w:val="24"/>
                <w:szCs w:val="24"/>
              </w:rPr>
              <w:t>在重点行业领域推广信用承诺制，依托各级信用门户网站向社会公开信用承诺书，督促守信践诺。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75"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27</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依托税收大数据精准分类监管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）依托税收大数据，提高税收风险分析识别精准度，提升精准施策效率。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）简化低风险任务</w:t>
            </w:r>
            <w:r>
              <w:rPr>
                <w:rFonts w:hint="eastAsia" w:ascii="仿宋_GB2312" w:hAnsi="仿宋_GB2312" w:eastAsia="仿宋_GB2312" w:cs="仿宋_GB2312"/>
                <w:color w:val="000000"/>
                <w:kern w:val="0"/>
                <w:sz w:val="24"/>
                <w:szCs w:val="24"/>
              </w:rPr>
              <w:t>推送流程，将低风险任务通过电子税务局直接推送至纳税人端，以“包容审慎”原则</w:t>
            </w:r>
            <w:r>
              <w:rPr>
                <w:rFonts w:hAnsi="仿宋_GB2312" w:eastAsia="仿宋_GB2312"/>
                <w:color w:val="000000"/>
                <w:kern w:val="0"/>
                <w:sz w:val="24"/>
                <w:szCs w:val="24"/>
              </w:rPr>
              <w:t>鼓励纳税人自查自纠。</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67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建立完善互联网医院监管平台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lang w:eastAsia="zh-CN"/>
              </w:rPr>
            </w:pPr>
            <w:r>
              <w:rPr>
                <w:rFonts w:hint="eastAsia" w:ascii="仿宋_GB2312" w:hAnsi="仿宋_GB2312" w:eastAsia="仿宋_GB2312" w:cs="仿宋_GB2312"/>
                <w:color w:val="000000"/>
                <w:kern w:val="0"/>
                <w:sz w:val="24"/>
                <w:szCs w:val="24"/>
              </w:rPr>
              <w:t>依托省级互联网医院监管平台，持续开展互联网医院监管，加强医师线上执业行为监管</w:t>
            </w:r>
            <w:r>
              <w:rPr>
                <w:rFonts w:hint="eastAsia" w:ascii="仿宋_GB2312" w:hAnsi="仿宋_GB2312" w:cs="仿宋_GB2312"/>
                <w:color w:val="000000"/>
                <w:kern w:val="0"/>
                <w:sz w:val="24"/>
                <w:szCs w:val="24"/>
                <w:lang w:eastAsia="zh-CN"/>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卫健</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推行包容审慎监管“四张清单”制度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全面梳理行政处罚和行政强制事项，统一执法标准，编制实施不予处罚事项清单、从轻处罚事项清单、减轻处罚事项清单和免予行政强制事项清单等“四张清单”。</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司法局、</w:t>
            </w:r>
            <w:r>
              <w:rPr>
                <w:rFonts w:hint="eastAsia" w:hAnsi="仿宋_GB2312"/>
                <w:color w:val="000000"/>
                <w:kern w:val="0"/>
                <w:sz w:val="24"/>
                <w:szCs w:val="24"/>
                <w:lang w:eastAsia="zh-CN"/>
              </w:rPr>
              <w:t>区</w:t>
            </w:r>
            <w:r>
              <w:rPr>
                <w:rFonts w:hAnsi="仿宋_GB2312" w:eastAsia="仿宋_GB2312"/>
                <w:color w:val="000000"/>
                <w:kern w:val="0"/>
                <w:sz w:val="24"/>
                <w:szCs w:val="24"/>
              </w:rPr>
              <w:t>级各行政执法部门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推进质量技术</w:t>
            </w:r>
          </w:p>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帮扶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创新开展质量技术帮扶“十百千万”工程，以监督抽查不合格生产企业为重点，组织专业技术人员从源头上开展“巡回问诊帮扶”，切实提升产品质量。</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0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优化破产案件财产解封及处置机制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研究制定涉刑破产案件财产移送的移交时限、程序，对违反规定的予以惩戒、追责。研究制定落实支持管理人依法申请解除对破产财产保全措施的相关举措。</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法院、检察院、公安</w:t>
            </w:r>
            <w:r>
              <w:rPr>
                <w:rFonts w:hint="eastAsia" w:hAnsi="仿宋_GB2312"/>
                <w:color w:val="000000"/>
                <w:kern w:val="0"/>
                <w:sz w:val="24"/>
                <w:szCs w:val="24"/>
                <w:lang w:eastAsia="zh-CN"/>
              </w:rPr>
              <w:t>分</w:t>
            </w:r>
            <w:r>
              <w:rPr>
                <w:rFonts w:hAnsi="仿宋_GB2312" w:eastAsia="仿宋_GB2312"/>
                <w:color w:val="000000"/>
                <w:kern w:val="0"/>
                <w:sz w:val="24"/>
                <w:szCs w:val="24"/>
              </w:rPr>
              <w:t>局、人社局、自然资源局、市场监管局、税务局</w:t>
            </w:r>
            <w:r>
              <w:rPr>
                <w:rFonts w:hint="eastAsia" w:hAnsi="仿宋_GB2312"/>
                <w:color w:val="000000"/>
                <w:kern w:val="0"/>
                <w:sz w:val="24"/>
                <w:szCs w:val="24"/>
                <w:lang w:eastAsia="zh-CN"/>
              </w:rPr>
              <w:t>、金融办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进一步便利破产管理人查询破产企业财产信息</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探索实施管理人凭法院指定裁定即可依法办理信息查询，为财产保全及抵押、质押解除，企业登记注销等业务提供便利和保障。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法院、公安</w:t>
            </w:r>
            <w:r>
              <w:rPr>
                <w:rFonts w:hint="eastAsia" w:hAnsi="仿宋_GB2312"/>
                <w:color w:val="000000"/>
                <w:kern w:val="0"/>
                <w:sz w:val="24"/>
                <w:szCs w:val="24"/>
                <w:lang w:eastAsia="zh-CN"/>
              </w:rPr>
              <w:t>分</w:t>
            </w:r>
            <w:r>
              <w:rPr>
                <w:rFonts w:hAnsi="仿宋_GB2312" w:eastAsia="仿宋_GB2312"/>
                <w:color w:val="000000"/>
                <w:kern w:val="0"/>
                <w:sz w:val="24"/>
                <w:szCs w:val="24"/>
              </w:rPr>
              <w:t>局、人社局、自然资源局、市场监管局、税务局</w:t>
            </w:r>
            <w:r>
              <w:rPr>
                <w:rFonts w:hint="eastAsia" w:hAnsi="仿宋_GB2312"/>
                <w:color w:val="000000"/>
                <w:kern w:val="0"/>
                <w:sz w:val="24"/>
                <w:szCs w:val="24"/>
                <w:lang w:eastAsia="zh-CN"/>
              </w:rPr>
              <w:t>、金融办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进一步完善破产管理人选任、预重整等制度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加强破产管理人协会管理，引导破产管理人协会制定自律规则，探索成立行业自律委员会，确保破产管理人依法规范履职。制定完善破产管理人业绩考核分级管理制度，确保不同复杂程度的破产案件分别从不同级别、资质的管理人名册中指定，采取随机和竞聘相结合方式选任管理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10"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33</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进一步完善破产管理人选任、预重整等制度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由政府成立清算组，清算组包含对应级别管理人名册中的社会中介机构或个人。法院受理破产后，结合清算组中中介机构或人员的资质、产生方式及履职情况，决定该中介机构、个人是否继续作为清算组成员及报酬标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40"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）推动庭外重组制度、预重整制度与破产重整制度有效衔接，强化庭外重组公信力和约束力，完善预重整制度，提高破产重整效率和成功率。</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w:t>
            </w:r>
            <w:r>
              <w:rPr>
                <w:rFonts w:hint="eastAsia" w:hAnsi="仿宋_GB2312"/>
                <w:color w:val="000000"/>
                <w:kern w:val="0"/>
                <w:sz w:val="24"/>
                <w:szCs w:val="24"/>
                <w:lang w:eastAsia="zh-CN"/>
              </w:rPr>
              <w:t>、</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60"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34</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健全企业重整期间信用修复机制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2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法院与相关单位协商调整相关信用限制和惩戒措施，探索在重整计划执行期间赋予符合条件的破产企业参与招投标、融资、开具保函等，推动重整期间信用修复，支持重整企业后续经营中能够正常融资、参加招投标，提高重整成功率。推动建立金融债权人委员会，简化金融机构内部考核、审批机制。</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spacing w:val="-6"/>
                <w:kern w:val="0"/>
                <w:sz w:val="24"/>
                <w:szCs w:val="24"/>
              </w:rPr>
              <w:t>法院、发改</w:t>
            </w:r>
            <w:r>
              <w:rPr>
                <w:rFonts w:hint="eastAsia" w:hAnsi="仿宋_GB2312"/>
                <w:color w:val="000000"/>
                <w:spacing w:val="-6"/>
                <w:kern w:val="0"/>
                <w:sz w:val="24"/>
                <w:szCs w:val="24"/>
                <w:lang w:eastAsia="zh-CN"/>
              </w:rPr>
              <w:t>局</w:t>
            </w:r>
            <w:r>
              <w:rPr>
                <w:rFonts w:hAnsi="仿宋_GB2312" w:eastAsia="仿宋_GB2312"/>
                <w:color w:val="000000"/>
                <w:spacing w:val="-6"/>
                <w:kern w:val="0"/>
                <w:sz w:val="24"/>
                <w:szCs w:val="24"/>
              </w:rPr>
              <w:t>、财政局</w:t>
            </w:r>
            <w:r>
              <w:rPr>
                <w:rFonts w:hint="eastAsia" w:hAnsi="仿宋_GB2312"/>
                <w:color w:val="000000"/>
                <w:spacing w:val="-6"/>
                <w:kern w:val="0"/>
                <w:sz w:val="24"/>
                <w:szCs w:val="24"/>
                <w:lang w:eastAsia="zh-CN"/>
              </w:rPr>
              <w:t>、</w:t>
            </w:r>
            <w:r>
              <w:rPr>
                <w:rFonts w:hAnsi="仿宋_GB2312" w:eastAsia="仿宋_GB2312"/>
                <w:color w:val="000000"/>
                <w:spacing w:val="-6"/>
                <w:kern w:val="0"/>
                <w:sz w:val="24"/>
                <w:szCs w:val="24"/>
              </w:rPr>
              <w:t>市场监管局、金融办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68"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8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）对在重整或和解程序中，已依法缴纳税款、滞纳金、罚款并纠正相关纳税信用失信行为的符合条件的破产企业，办理纳税信用修复。</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建立健全政务诚信诉讼执行协调机制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wordWrap/>
              <w:adjustRightInd/>
              <w:snapToGrid/>
              <w:spacing w:line="380" w:lineRule="exact"/>
              <w:textAlignment w:val="center"/>
              <w:rPr>
                <w:rFonts w:eastAsia="仿宋_GB2312"/>
                <w:color w:val="000000"/>
                <w:sz w:val="24"/>
                <w:szCs w:val="24"/>
              </w:rPr>
            </w:pP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优化完善</w:t>
            </w:r>
            <w:r>
              <w:rPr>
                <w:rFonts w:eastAsia="仿宋_GB2312"/>
                <w:color w:val="000000"/>
                <w:kern w:val="0"/>
                <w:sz w:val="24"/>
                <w:szCs w:val="24"/>
              </w:rPr>
              <w:t>“</w:t>
            </w:r>
            <w:r>
              <w:rPr>
                <w:rFonts w:hAnsi="仿宋_GB2312" w:eastAsia="仿宋_GB2312"/>
                <w:color w:val="000000"/>
                <w:kern w:val="0"/>
                <w:sz w:val="24"/>
                <w:szCs w:val="24"/>
              </w:rPr>
              <w:t>福建省失信被执行人联合惩戒平台</w:t>
            </w:r>
            <w:r>
              <w:rPr>
                <w:rFonts w:eastAsia="仿宋_GB2312"/>
                <w:color w:val="000000"/>
                <w:kern w:val="0"/>
                <w:sz w:val="24"/>
                <w:szCs w:val="24"/>
              </w:rPr>
              <w:t>”</w:t>
            </w:r>
            <w:r>
              <w:rPr>
                <w:rFonts w:hAnsi="仿宋_GB2312" w:eastAsia="仿宋_GB2312"/>
                <w:color w:val="000000"/>
                <w:kern w:val="0"/>
                <w:sz w:val="24"/>
                <w:szCs w:val="24"/>
              </w:rPr>
              <w:t>，提高惩戒的实效性和针对性，加快建立</w:t>
            </w:r>
            <w:r>
              <w:rPr>
                <w:rFonts w:eastAsia="仿宋_GB2312"/>
                <w:color w:val="000000"/>
                <w:kern w:val="0"/>
                <w:sz w:val="24"/>
                <w:szCs w:val="24"/>
              </w:rPr>
              <w:t>“</w:t>
            </w:r>
            <w:r>
              <w:rPr>
                <w:rFonts w:hAnsi="仿宋_GB2312" w:eastAsia="仿宋_GB2312"/>
                <w:color w:val="000000"/>
                <w:kern w:val="0"/>
                <w:sz w:val="24"/>
                <w:szCs w:val="24"/>
              </w:rPr>
              <w:t>横向到边、纵向到底</w:t>
            </w:r>
            <w:r>
              <w:rPr>
                <w:rFonts w:eastAsia="仿宋_GB2312"/>
                <w:color w:val="000000"/>
                <w:kern w:val="0"/>
                <w:sz w:val="24"/>
                <w:szCs w:val="24"/>
              </w:rPr>
              <w:t>”</w:t>
            </w:r>
            <w:r>
              <w:rPr>
                <w:rFonts w:hAnsi="仿宋_GB2312" w:eastAsia="仿宋_GB2312"/>
                <w:color w:val="000000"/>
                <w:kern w:val="0"/>
                <w:sz w:val="24"/>
                <w:szCs w:val="24"/>
              </w:rPr>
              <w:t>的全省三级联合惩戒统一平台。</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持续进行</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法院、发改</w:t>
            </w:r>
            <w:r>
              <w:rPr>
                <w:rFonts w:hint="eastAsia" w:hAnsi="仿宋_GB2312"/>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0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Ansi="仿宋_GB2312" w:eastAsia="仿宋_GB2312"/>
                <w:color w:val="000000"/>
                <w:kern w:val="0"/>
                <w:sz w:val="24"/>
                <w:szCs w:val="24"/>
              </w:rPr>
            </w:pPr>
            <w:r>
              <w:rPr>
                <w:rFonts w:hAnsi="仿宋_GB2312" w:eastAsia="仿宋_GB2312"/>
                <w:color w:val="000000"/>
                <w:kern w:val="0"/>
                <w:sz w:val="24"/>
                <w:szCs w:val="24"/>
              </w:rPr>
              <w:t>优化涉台司法</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探索建立打击防范侵犯台胞台企合法权益的经济犯罪协调会商机制，协调解决台胞台企在投资建设及生产生活经营过程中遇到的法律问题。</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eastAsia="仿宋_GB2312"/>
                <w:color w:val="000000"/>
                <w:sz w:val="24"/>
                <w:szCs w:val="24"/>
                <w:lang w:eastAsia="zh-CN"/>
              </w:rPr>
            </w:pPr>
            <w:r>
              <w:rPr>
                <w:rFonts w:hint="eastAsia" w:hAnsi="仿宋_GB2312"/>
                <w:color w:val="000000"/>
                <w:kern w:val="0"/>
                <w:sz w:val="24"/>
                <w:szCs w:val="24"/>
                <w:lang w:eastAsia="zh-CN"/>
              </w:rPr>
              <w:t>区</w:t>
            </w:r>
            <w:r>
              <w:rPr>
                <w:rFonts w:hAnsi="仿宋_GB2312" w:eastAsia="仿宋_GB2312"/>
                <w:color w:val="000000"/>
                <w:kern w:val="0"/>
                <w:sz w:val="24"/>
                <w:szCs w:val="24"/>
              </w:rPr>
              <w:t>委台港澳办</w:t>
            </w:r>
            <w:r>
              <w:rPr>
                <w:rFonts w:hint="eastAsia" w:hAnsi="仿宋_GB2312"/>
                <w:color w:val="000000"/>
                <w:kern w:val="0"/>
                <w:sz w:val="24"/>
                <w:szCs w:val="24"/>
                <w:lang w:eastAsia="zh-CN"/>
              </w:rPr>
              <w:t>、区法院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92" w:hRule="atLeast"/>
          <w:jc w:val="center"/>
        </w:trPr>
        <w:tc>
          <w:tcPr>
            <w:tcW w:w="667"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37</w:t>
            </w:r>
          </w:p>
        </w:tc>
        <w:tc>
          <w:tcPr>
            <w:tcW w:w="2081"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推行人民法院档案电子化管理</w:t>
            </w:r>
          </w:p>
        </w:tc>
        <w:tc>
          <w:tcPr>
            <w:tcW w:w="7374"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进一步更新三级法院电子档案系统联网功能，推进三级法院电子档案跨院调卷、当事人跨院查阅电子诉讼档案，实现互联网查阅电子诉讼档案。</w:t>
            </w:r>
          </w:p>
        </w:tc>
        <w:tc>
          <w:tcPr>
            <w:tcW w:w="1567"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nil"/>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法院、档案局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80"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38</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开展司法专递面单电子化改革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开展司法集约送达服务合作，统筹电话、电子、邮寄、直接、转交、留置、委托、公告等送达方式，做到全领域合作、全网络贯通、全模式送达、全流程运行、全地域覆盖，实现即时达、码上达、就近达、一次达、效力达。</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法院、邮政公司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86"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）实现司法专递送达回执电子化，在受送达人签收、拒收或查无此人退回等送达任务完成后，邮政公司将法院专递面单通过系统对接后回传给法院，法院将电子面单入卷归档。</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法院、邮政公司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39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提升纠纷化解服务能力，保护中小投资者权益</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开展投资者保护专项行动，指导辖区行业协会、市场主体通过线上线下多种形式，宣传矛盾纠纷多元化解政策。推动辖区调解组织积极为投资者提供纠纷调解服务。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法院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560"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三、提供便利化服务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1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r>
              <w:rPr>
                <w:rFonts w:eastAsia="仿宋_GB2312"/>
                <w:color w:val="000000"/>
                <w:sz w:val="24"/>
                <w:szCs w:val="24"/>
              </w:rPr>
              <w:t>40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r>
              <w:rPr>
                <w:rFonts w:hAnsi="仿宋_GB2312" w:eastAsia="仿宋_GB2312"/>
                <w:color w:val="000000"/>
                <w:sz w:val="24"/>
                <w:szCs w:val="24"/>
              </w:rPr>
              <w:t>开展工程建设项目审批全流程无纸化审批改革试点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Ansi="仿宋_GB2312" w:eastAsia="仿宋_GB2312"/>
                <w:color w:val="000000"/>
                <w:kern w:val="0"/>
                <w:sz w:val="24"/>
                <w:szCs w:val="24"/>
              </w:rPr>
              <w:t>优化完善工程建设项目审批管理系统功能，推动系统互联互通、数据实时共享，提供</w:t>
            </w:r>
            <w:r>
              <w:rPr>
                <w:rFonts w:hAnsi="仿宋_GB2312" w:eastAsia="仿宋_GB2312"/>
                <w:color w:val="000000"/>
                <w:sz w:val="24"/>
                <w:szCs w:val="24"/>
              </w:rPr>
              <w:t>工程建设项目审批全流程无纸化审批</w:t>
            </w:r>
            <w:r>
              <w:rPr>
                <w:rFonts w:hAnsi="仿宋_GB2312" w:eastAsia="仿宋_GB2312"/>
                <w:color w:val="000000"/>
                <w:kern w:val="0"/>
                <w:sz w:val="24"/>
                <w:szCs w:val="24"/>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工改办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51"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41</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推进社会投资项目</w:t>
            </w:r>
            <w:r>
              <w:rPr>
                <w:rFonts w:eastAsia="仿宋_GB2312"/>
                <w:color w:val="000000"/>
                <w:kern w:val="0"/>
                <w:sz w:val="24"/>
                <w:szCs w:val="24"/>
              </w:rPr>
              <w:t>“</w:t>
            </w:r>
            <w:r>
              <w:rPr>
                <w:rFonts w:hAnsi="仿宋_GB2312" w:eastAsia="仿宋_GB2312"/>
                <w:color w:val="000000"/>
                <w:kern w:val="0"/>
                <w:sz w:val="24"/>
                <w:szCs w:val="24"/>
              </w:rPr>
              <w:t>用地清单制</w:t>
            </w:r>
            <w:r>
              <w:rPr>
                <w:rFonts w:eastAsia="仿宋_GB2312"/>
                <w:color w:val="000000"/>
                <w:kern w:val="0"/>
                <w:sz w:val="24"/>
                <w:szCs w:val="24"/>
              </w:rPr>
              <w:t>”</w:t>
            </w:r>
            <w:r>
              <w:rPr>
                <w:rFonts w:hAnsi="仿宋_GB2312" w:eastAsia="仿宋_GB2312"/>
                <w:color w:val="000000"/>
                <w:kern w:val="0"/>
                <w:sz w:val="24"/>
                <w:szCs w:val="24"/>
              </w:rPr>
              <w:t>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在土地供应前，开展区域气候可行性论证，成果共享，区域内单个项目不再进行气候可行性论证。在土地供应时一并交付用地单位，企业不再重复论证。同时，当项目外部条件发生变化，地方政府及时组织区域气候可行性论证报告调整完善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气象局、自然资源局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06"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）土地供应前，结合地质论证，提出是否建设防空地下室意见和人防建设标准和防护类别。</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33"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（3）推动工程建设项目审批中介服务进入网上交易平台进行交易，并纳入工程项目审批管理系统。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工改办，</w:t>
            </w:r>
            <w:r>
              <w:rPr>
                <w:rFonts w:hint="eastAsia" w:hAnsi="仿宋_GB2312"/>
                <w:color w:val="000000"/>
                <w:kern w:val="0"/>
                <w:sz w:val="24"/>
                <w:szCs w:val="24"/>
                <w:lang w:eastAsia="zh-CN"/>
              </w:rPr>
              <w:t>区</w:t>
            </w:r>
            <w:r>
              <w:rPr>
                <w:rFonts w:hAnsi="仿宋_GB2312" w:eastAsia="仿宋_GB2312"/>
                <w:color w:val="000000"/>
                <w:kern w:val="0"/>
                <w:sz w:val="24"/>
                <w:szCs w:val="24"/>
              </w:rPr>
              <w:t>工改办各成员单位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535"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42</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试行分阶段整合相关测绘测量事项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深化“多测合一”改革，将拨地测绘、宗地测绘合并为一个测绘事项（划拨类、出让类）；将房产预测绘、人防面积预测绘、建筑放线测量，在具备条件的情况下进行整合；将竣工规划测量、用地复核测量、房产测量、机动车停车场（库）测量、绿地测量、人防测量、地下管线测量等事项，在具备条件的情况下进行整合。</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37"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w:t>
            </w:r>
            <w:r>
              <w:rPr>
                <w:rFonts w:hint="eastAsia" w:ascii="仿宋_GB2312" w:hAnsi="仿宋_GB2312" w:eastAsia="仿宋_GB2312" w:cs="仿宋_GB2312"/>
                <w:color w:val="000000"/>
                <w:kern w:val="0"/>
                <w:sz w:val="24"/>
                <w:szCs w:val="24"/>
              </w:rPr>
              <w:t>加快统一地方相关测绘测量技术标准，实现同一阶段“一次委托、成果共享”，避免对同一标的物重复测绘测量</w:t>
            </w:r>
            <w:r>
              <w:rPr>
                <w:rFonts w:hAnsi="仿宋_GB2312" w:eastAsia="仿宋_GB2312"/>
                <w:color w:val="000000"/>
                <w:kern w:val="0"/>
                <w:sz w:val="24"/>
                <w:szCs w:val="24"/>
              </w:rPr>
              <w:t>。</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自然资源局、</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住建局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1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推行水电气等市政接入工程涉及的行政审批在线并联办理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对各类小型市政接入工程（供排水、供气、电力、通讯和广电等），实施建设工程规划许可、工程建设涉绿审批、市政设施建设类审批、公安交警部门交通影响审批等全程在线、并联办理。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行政服务中心、城市管理局、住建局、自然资源局、公安</w:t>
            </w:r>
            <w:r>
              <w:rPr>
                <w:rFonts w:hint="eastAsia" w:hAnsi="仿宋_GB2312"/>
                <w:color w:val="000000"/>
                <w:kern w:val="0"/>
                <w:sz w:val="24"/>
                <w:szCs w:val="24"/>
                <w:lang w:eastAsia="zh-CN"/>
              </w:rPr>
              <w:t>分</w:t>
            </w:r>
            <w:r>
              <w:rPr>
                <w:rFonts w:hAnsi="仿宋_GB2312" w:eastAsia="仿宋_GB2312"/>
                <w:color w:val="000000"/>
                <w:kern w:val="0"/>
                <w:sz w:val="24"/>
                <w:szCs w:val="24"/>
              </w:rPr>
              <w:t>局等相关部门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4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推行联合验收“一口受理”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对实行联合验收的工程建设项目，实行“一口受理”。科学合理确定纳入联合验收的事项。在联合竣工验收前由建设单位组织工程建设各方主体完成工程竣工验收，强化风险管控，确保项目符合规划要求。</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住建局、</w:t>
            </w:r>
          </w:p>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自然资源局等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94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45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推进产业园区规划环评与项目环评联动</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加强“区域—规划—项目”联动，实行产业园区、公路、铁路、轨道交通、港口航道、矿产资源、流域和水利水电等重点领域规划环评与项目环评繁简分离管理，试行项目环评审批告知承诺，推行民生工程领域“打包”审批，进一步精简优化项目环评内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生态环境局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753"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4</w:t>
            </w:r>
            <w:r>
              <w:rPr>
                <w:rFonts w:hint="eastAsia"/>
                <w:color w:val="000000"/>
                <w:kern w:val="0"/>
                <w:sz w:val="24"/>
                <w:szCs w:val="24"/>
                <w:lang w:val="en-US" w:eastAsia="zh-CN"/>
              </w:rPr>
              <w:t>6</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简化检验检测机构人员信息变更办理程序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）企业性质的检验检测机构变更法定代表人，通过省市场监管智慧应用一体化平台自动关联企业登记系统和资质认定系统中法定代表人信息的方式，完成变更机构法定代表人，机构无需到资质认定部门申请办理。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06"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）非企业性质的检验检测机构变更法定代表人，由机构自行修改资质认定系统法定代表人信息，机构无需到资质认定部门申请办理。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3</w:t>
            </w:r>
            <w:r>
              <w:rPr>
                <w:rFonts w:hAnsi="仿宋_GB2312" w:eastAsia="仿宋_GB2312"/>
                <w:color w:val="000000"/>
                <w:kern w:val="0"/>
                <w:sz w:val="24"/>
                <w:szCs w:val="24"/>
              </w:rPr>
              <w:t>）检验检测机构变更最高管理者、技术负责人，由机构自行修改资质认定系统最高管理者、技术负责人信息，机构无需到资质认定部门申请办理。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市场监管局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47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建立健全税费优惠政策精准推送机制</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升级税费优惠政策精准推送机制，精准捕捉纳税人关注度高的问题，依法运用税收大数据，充分应用电子税务局、微电子税务局等渠道，有序开展优惠信息精准推送工作。分析纳税人获取消息后的反馈信息，逐步建立健全精准推送补偿和矫正机制，开展有针对性的税法宣传和政策辅导。</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3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48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Style w:val="13"/>
                <w:rFonts w:hint="eastAsia" w:ascii="仿宋_GB2312" w:hAnsi="仿宋_GB2312" w:eastAsia="仿宋_GB2312" w:cs="仿宋_GB2312"/>
                <w:sz w:val="24"/>
                <w:szCs w:val="24"/>
              </w:rPr>
              <w:t>拓展“非接触式”办税缴费服务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引导纳税人和缴费人优先选择“非接触式”办税方式，实现网上开具个人所得税纳税记录；优化个人在线缴纳房地产交易税费服务。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13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49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Style w:val="13"/>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开展智能云书柜试点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实现涉税证明开具、涉税文书打印、涉税表单打印等输出业务就近办理。</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831"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试行公安服务“一窗通办”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进公安派出所“一站式”综合服务窗口建设试点，在符合条件的派出所设立“一站式”公安综合服务窗口，探索试行“不找警种、不分区域、一次办成”模式，为群众提供户政、治安、交警、出入境等“一站式”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公安</w:t>
            </w:r>
            <w:r>
              <w:rPr>
                <w:rFonts w:hint="eastAsia" w:hAnsi="仿宋_GB2312"/>
                <w:color w:val="000000"/>
                <w:kern w:val="0"/>
                <w:sz w:val="24"/>
                <w:szCs w:val="24"/>
                <w:lang w:eastAsia="zh-CN"/>
              </w:rPr>
              <w:t>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1</w:t>
            </w:r>
          </w:p>
        </w:tc>
        <w:tc>
          <w:tcPr>
            <w:tcW w:w="20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进一步扩大电子证照、电子签章等应用范围</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1</w:t>
            </w:r>
            <w:r>
              <w:rPr>
                <w:rFonts w:hAnsi="仿宋_GB2312" w:eastAsia="仿宋_GB2312"/>
                <w:color w:val="000000"/>
                <w:kern w:val="0"/>
                <w:sz w:val="24"/>
                <w:szCs w:val="24"/>
              </w:rPr>
              <w:t>）配合</w:t>
            </w:r>
            <w:r>
              <w:rPr>
                <w:rFonts w:hint="eastAsia" w:hAnsi="仿宋_GB2312"/>
                <w:color w:val="000000"/>
                <w:kern w:val="0"/>
                <w:sz w:val="24"/>
                <w:szCs w:val="24"/>
                <w:lang w:eastAsia="zh-CN"/>
              </w:rPr>
              <w:t>上级</w:t>
            </w:r>
            <w:r>
              <w:rPr>
                <w:rFonts w:hAnsi="仿宋_GB2312" w:eastAsia="仿宋_GB2312"/>
                <w:color w:val="000000"/>
                <w:kern w:val="0"/>
                <w:sz w:val="24"/>
                <w:szCs w:val="24"/>
              </w:rPr>
              <w:t>完善省级企业数字证书和电子签章公共服务平台，提升优化平台功能，在工改等领域为企业提供多数字证书的兼容互认及统一的电子签章应用服务。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Ansi="仿宋_GB2312"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工改办、</w:t>
            </w:r>
          </w:p>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数字办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center"/>
              <w:rPr>
                <w:rFonts w:eastAsia="仿宋_GB2312"/>
                <w:color w:val="000000"/>
                <w:sz w:val="24"/>
                <w:szCs w:val="24"/>
              </w:rPr>
            </w:pPr>
          </w:p>
        </w:tc>
        <w:tc>
          <w:tcPr>
            <w:tcW w:w="20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spacing w:line="360" w:lineRule="exact"/>
              <w:jc w:val="left"/>
              <w:rPr>
                <w:rFonts w:eastAsia="仿宋_GB2312"/>
                <w:color w:val="00000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w:t>
            </w:r>
            <w:r>
              <w:rPr>
                <w:rFonts w:eastAsia="仿宋_GB2312"/>
                <w:color w:val="000000"/>
                <w:kern w:val="0"/>
                <w:sz w:val="24"/>
                <w:szCs w:val="24"/>
              </w:rPr>
              <w:t>2</w:t>
            </w:r>
            <w:r>
              <w:rPr>
                <w:rFonts w:hAnsi="仿宋_GB2312" w:eastAsia="仿宋_GB2312"/>
                <w:color w:val="000000"/>
                <w:kern w:val="0"/>
                <w:sz w:val="24"/>
                <w:szCs w:val="24"/>
              </w:rPr>
              <w:t>）在项目申报、招投标、政府采购、就业创业、不动产登记、交通运输、婚姻登记、生育登记、医疗保障等领域推广电子证照应用。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年底前探索典型应用场景</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行政服务中心、发改</w:t>
            </w:r>
            <w:r>
              <w:rPr>
                <w:rFonts w:hint="eastAsia" w:hAnsi="仿宋_GB2312"/>
                <w:color w:val="000000"/>
                <w:kern w:val="0"/>
                <w:sz w:val="24"/>
                <w:szCs w:val="24"/>
                <w:lang w:eastAsia="zh-CN"/>
              </w:rPr>
              <w:t>局</w:t>
            </w:r>
            <w:r>
              <w:rPr>
                <w:rFonts w:hAnsi="仿宋_GB2312" w:eastAsia="仿宋_GB2312"/>
                <w:color w:val="000000"/>
                <w:kern w:val="0"/>
                <w:sz w:val="24"/>
                <w:szCs w:val="24"/>
              </w:rPr>
              <w:t>、财政局、民政局、人社局、自然资源局、交通局、医保</w:t>
            </w:r>
            <w:r>
              <w:rPr>
                <w:rFonts w:hint="eastAsia" w:hAnsi="仿宋_GB2312"/>
                <w:color w:val="000000"/>
                <w:kern w:val="0"/>
                <w:sz w:val="24"/>
                <w:szCs w:val="24"/>
                <w:lang w:eastAsia="zh-CN"/>
              </w:rPr>
              <w:t>分</w:t>
            </w:r>
            <w:r>
              <w:rPr>
                <w:rFonts w:hAnsi="仿宋_GB2312" w:eastAsia="仿宋_GB2312"/>
                <w:color w:val="000000"/>
                <w:kern w:val="0"/>
                <w:sz w:val="24"/>
                <w:szCs w:val="24"/>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7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2</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深化“一件事”集成服务改革</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按照</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统一部署，在企业简易注销、企业准营、企业招收员工、高频证照变更、灵活就业、婚育、身后等领域推进一批高频集成事项，进一步完善涉及企业和群众全生命周期的集成服务事项。</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审改办、行政服务中心、市场监管局、民政局、人社局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93"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5</w:t>
            </w:r>
            <w:r>
              <w:rPr>
                <w:rFonts w:hint="eastAsia"/>
                <w:color w:val="000000"/>
                <w:kern w:val="0"/>
                <w:sz w:val="24"/>
                <w:szCs w:val="24"/>
                <w:lang w:val="en-US" w:eastAsia="zh-CN"/>
              </w:rPr>
              <w:t>3</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推广应用“人策匹配机器人”</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在人社领域推广“人策匹配机器人”试点成果，对企业群众的政策需求精准画像，与政策批量匹配，让人找政策变为政策找人。</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2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54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促进灵活就业</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加强用工余缺信息归集与共享,引导企业开展“共享用工”。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人社局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5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优化提升“八闽办税码”服务质效</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按照</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统一部署，逐步推进“八闽办税码”融入地方政务应用，积极探索价值数据跨部门共享，实现部门需求专属定制、自主提交，用户档案汇聚共享、随时可用。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9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扩大网上办税“同屏帮办”覆盖范围</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持续扩大网上办税“同屏帮办”覆盖范围，提高网上办税准确度和便利性。</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56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拓展税收优惠政策智能享惠在互联网端的运用</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进一步拓展智能享惠在互联网端的运用，整合各税费种基础政策和近三年优惠政策或措施，对政策内容进行碎片化梳理、标签化归集、组合化呈现，纳税人自行选择条件，直观列表展现可享受各税费种优惠政策的方式，助力纳税人应享尽享各项税收政策红利。</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税务局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0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推行惠企政策“免申即享”</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通过政府部门信息共享等方式，实现符合条件的企业免予申报、直接享受政策。</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区财政局、</w:t>
            </w:r>
            <w:r>
              <w:rPr>
                <w:rFonts w:hAnsi="仿宋_GB2312" w:eastAsia="仿宋_GB2312"/>
                <w:color w:val="000000"/>
                <w:kern w:val="0"/>
                <w:sz w:val="24"/>
                <w:szCs w:val="24"/>
              </w:rPr>
              <w:t>工信局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59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推动水、电、气、网“一站式”通办</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cs="仿宋_GB2312"/>
                <w:color w:val="000000"/>
                <w:kern w:val="0"/>
                <w:sz w:val="24"/>
                <w:szCs w:val="24"/>
                <w:lang w:eastAsia="zh-CN"/>
              </w:rPr>
              <w:t>配合上级</w:t>
            </w:r>
            <w:r>
              <w:rPr>
                <w:rFonts w:hint="eastAsia" w:ascii="仿宋_GB2312" w:hAnsi="仿宋_GB2312" w:eastAsia="仿宋_GB2312" w:cs="仿宋_GB2312"/>
                <w:color w:val="000000"/>
                <w:kern w:val="0"/>
                <w:sz w:val="24"/>
                <w:szCs w:val="24"/>
              </w:rPr>
              <w:t>完善“管线基础资源产业联盟”，开启水、电、气、网“共享营业厅”，逐步实现一站式通办。</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40" w:lineRule="exact"/>
              <w:textAlignment w:val="center"/>
              <w:rPr>
                <w:rFonts w:eastAsia="仿宋_GB2312"/>
                <w:color w:val="00000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r>
              <w:rPr>
                <w:rFonts w:hint="eastAsia" w:hAnsi="仿宋_GB2312"/>
                <w:color w:val="000000"/>
                <w:kern w:val="0"/>
                <w:sz w:val="24"/>
                <w:szCs w:val="24"/>
                <w:lang w:eastAsia="zh-CN"/>
              </w:rPr>
              <w:t>区</w:t>
            </w:r>
            <w:r>
              <w:rPr>
                <w:rFonts w:hAnsi="仿宋_GB2312" w:eastAsia="仿宋_GB2312"/>
                <w:color w:val="000000"/>
                <w:kern w:val="0"/>
                <w:sz w:val="24"/>
                <w:szCs w:val="24"/>
              </w:rPr>
              <w:t>工改办、发改</w:t>
            </w:r>
            <w:r>
              <w:rPr>
                <w:rFonts w:hint="eastAsia" w:hAnsi="仿宋_GB2312"/>
                <w:color w:val="000000"/>
                <w:kern w:val="0"/>
                <w:sz w:val="24"/>
                <w:szCs w:val="24"/>
                <w:lang w:eastAsia="zh-CN"/>
              </w:rPr>
              <w:t>局</w:t>
            </w:r>
            <w:r>
              <w:rPr>
                <w:rFonts w:hAnsi="仿宋_GB2312" w:eastAsia="仿宋_GB2312"/>
                <w:color w:val="000000"/>
                <w:kern w:val="0"/>
                <w:sz w:val="24"/>
                <w:szCs w:val="24"/>
              </w:rPr>
              <w:t>、住建局、城市管理局、数字办、水务集团</w:t>
            </w:r>
            <w:r>
              <w:rPr>
                <w:rFonts w:hint="eastAsia" w:hAnsi="仿宋_GB2312"/>
                <w:color w:val="000000"/>
                <w:kern w:val="0"/>
                <w:sz w:val="24"/>
                <w:szCs w:val="24"/>
                <w:lang w:eastAsia="zh-CN"/>
              </w:rPr>
              <w:t>，</w:t>
            </w:r>
            <w:r>
              <w:rPr>
                <w:rFonts w:hAnsi="仿宋_GB2312" w:eastAsia="仿宋_GB2312"/>
                <w:color w:val="000000"/>
                <w:kern w:val="0"/>
                <w:sz w:val="24"/>
                <w:szCs w:val="24"/>
              </w:rPr>
              <w:t>旷远能源公司、广电网络</w:t>
            </w:r>
            <w:r>
              <w:rPr>
                <w:rFonts w:hint="eastAsia" w:hAnsi="仿宋_GB2312"/>
                <w:color w:val="000000"/>
                <w:kern w:val="0"/>
                <w:sz w:val="24"/>
                <w:szCs w:val="24"/>
                <w:lang w:eastAsia="zh-CN"/>
              </w:rPr>
              <w:t>集团莆田分公司</w:t>
            </w:r>
            <w:r>
              <w:rPr>
                <w:rFonts w:hAnsi="仿宋_GB2312" w:eastAsia="仿宋_GB2312"/>
                <w:color w:val="000000"/>
                <w:kern w:val="0"/>
                <w:sz w:val="24"/>
                <w:szCs w:val="24"/>
              </w:rPr>
              <w:t>、移动</w:t>
            </w:r>
            <w:r>
              <w:rPr>
                <w:rFonts w:hint="eastAsia" w:hAnsi="仿宋_GB2312"/>
                <w:color w:val="000000"/>
                <w:kern w:val="0"/>
                <w:sz w:val="24"/>
                <w:szCs w:val="24"/>
                <w:lang w:eastAsia="zh-CN"/>
              </w:rPr>
              <w:t>莆田分</w:t>
            </w:r>
            <w:r>
              <w:rPr>
                <w:rFonts w:hAnsi="仿宋_GB2312" w:eastAsia="仿宋_GB2312"/>
                <w:color w:val="000000"/>
                <w:kern w:val="0"/>
                <w:sz w:val="24"/>
                <w:szCs w:val="24"/>
              </w:rPr>
              <w:t>公司、联通</w:t>
            </w:r>
            <w:r>
              <w:rPr>
                <w:rFonts w:hint="eastAsia" w:hAnsi="仿宋_GB2312"/>
                <w:color w:val="000000"/>
                <w:kern w:val="0"/>
                <w:sz w:val="24"/>
                <w:szCs w:val="24"/>
                <w:lang w:eastAsia="zh-CN"/>
              </w:rPr>
              <w:t>莆田分</w:t>
            </w:r>
            <w:r>
              <w:rPr>
                <w:rFonts w:hAnsi="仿宋_GB2312" w:eastAsia="仿宋_GB2312"/>
                <w:color w:val="000000"/>
                <w:kern w:val="0"/>
                <w:sz w:val="24"/>
                <w:szCs w:val="24"/>
              </w:rPr>
              <w:t>公司、电信</w:t>
            </w:r>
            <w:r>
              <w:rPr>
                <w:rFonts w:hint="eastAsia" w:hAnsi="仿宋_GB2312"/>
                <w:color w:val="000000"/>
                <w:kern w:val="0"/>
                <w:sz w:val="24"/>
                <w:szCs w:val="24"/>
                <w:lang w:eastAsia="zh-CN"/>
              </w:rPr>
              <w:t>莆田分</w:t>
            </w:r>
            <w:r>
              <w:rPr>
                <w:rFonts w:hAnsi="仿宋_GB2312" w:eastAsia="仿宋_GB2312"/>
                <w:color w:val="000000"/>
                <w:kern w:val="0"/>
                <w:sz w:val="24"/>
                <w:szCs w:val="24"/>
              </w:rPr>
              <w:t>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259"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推广涉电行政审批申请“一窗受理”</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配合</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完善政企协同办电信息共享平台，推广行政审批申请“一窗受理”，审批流程公开透明，审批结果自动反馈供电企业，用户线上可查。</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、行政服务中心、自然资源局，</w:t>
            </w: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418"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hAnsi="仿宋_GB2312" w:eastAsia="仿宋_GB2312"/>
                <w:color w:val="000000"/>
                <w:kern w:val="0"/>
                <w:sz w:val="24"/>
                <w:szCs w:val="24"/>
              </w:rPr>
              <w:t>优化供电流程，提高办电效率</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压减供电方案答复时间，深化移动作业终端应用，提升工程物资供应速度，加快业务办理和配套电网接入工程建设，实行“三零”服务的低压非居民用户全过程</w:t>
            </w:r>
            <w:r>
              <w:rPr>
                <w:rFonts w:eastAsia="仿宋_GB2312"/>
                <w:color w:val="000000"/>
                <w:kern w:val="0"/>
                <w:sz w:val="24"/>
                <w:szCs w:val="24"/>
              </w:rPr>
              <w:t>办电时间压减至15个工作日内。</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09" w:hRule="atLeast"/>
          <w:jc w:val="center"/>
        </w:trPr>
        <w:tc>
          <w:tcPr>
            <w:tcW w:w="667"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2</w:t>
            </w:r>
          </w:p>
        </w:tc>
        <w:tc>
          <w:tcPr>
            <w:tcW w:w="2081"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提高供电可靠性和电费透明度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eastAsia="仿宋_GB2312"/>
                <w:color w:val="000000"/>
                <w:kern w:val="0"/>
                <w:sz w:val="24"/>
                <w:szCs w:val="24"/>
              </w:rPr>
              <w:t>（1）加强薄弱地区配电网规划建设，实施设备精益管理，强化抢修工单分析研判，开展配电网建设改造。</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95" w:hRule="atLeast"/>
          <w:jc w:val="center"/>
        </w:trPr>
        <w:tc>
          <w:tcPr>
            <w:tcW w:w="667"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p>
        </w:tc>
        <w:tc>
          <w:tcPr>
            <w:tcW w:w="2081" w:type="dxa"/>
            <w:vMerge w:val="continue"/>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eastAsia="仿宋_GB2312"/>
                <w:color w:val="000000"/>
                <w:kern w:val="0"/>
                <w:sz w:val="24"/>
                <w:szCs w:val="24"/>
              </w:rPr>
              <w:t>（2）严控计划停电，全面开展业扩不停电作业，扩大中低压带电作业范围，提高业扩带电接火率至93%。</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国网</w:t>
            </w:r>
            <w:r>
              <w:rPr>
                <w:rFonts w:hAnsi="仿宋_GB2312" w:eastAsia="仿宋_GB2312"/>
                <w:color w:val="000000"/>
                <w:kern w:val="0"/>
                <w:sz w:val="24"/>
                <w:szCs w:val="24"/>
              </w:rPr>
              <w:t>莆田供电公司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50" w:hRule="atLeast"/>
          <w:jc w:val="center"/>
        </w:trPr>
        <w:tc>
          <w:tcPr>
            <w:tcW w:w="667" w:type="dxa"/>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eastAsia="仿宋_GB2312"/>
                <w:color w:val="000000"/>
                <w:kern w:val="0"/>
                <w:sz w:val="24"/>
                <w:szCs w:val="24"/>
              </w:rPr>
              <w:t>6</w:t>
            </w:r>
            <w:r>
              <w:rPr>
                <w:rFonts w:hint="eastAsia"/>
                <w:color w:val="000000"/>
                <w:kern w:val="0"/>
                <w:sz w:val="24"/>
                <w:szCs w:val="24"/>
                <w:lang w:val="en-US" w:eastAsia="zh-CN"/>
              </w:rPr>
              <w:t>3</w:t>
            </w:r>
          </w:p>
        </w:tc>
        <w:tc>
          <w:tcPr>
            <w:tcW w:w="2081" w:type="dxa"/>
            <w:tcBorders>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清理取消供水环节不合理收费</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取消供水企业及其所属或委托的安装工程公司在用水报装工程验收接入环节向用户收取的接水费、增容费、报装费等类似名目开户费用，以及开关闸费、竣工核验费、竣工导线测量费、管线探测费、勾头费、水钻工程费、碰头费、出图费等类似名目工程费用。</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住建局、</w:t>
            </w:r>
          </w:p>
          <w:p>
            <w:pPr>
              <w:widowControl/>
              <w:spacing w:line="360" w:lineRule="exact"/>
              <w:jc w:val="center"/>
              <w:textAlignment w:val="center"/>
              <w:rPr>
                <w:rFonts w:eastAsia="仿宋_GB2312"/>
                <w:color w:val="000000"/>
                <w:kern w:val="0"/>
                <w:sz w:val="24"/>
                <w:szCs w:val="24"/>
              </w:rPr>
            </w:pPr>
            <w:r>
              <w:rPr>
                <w:rFonts w:eastAsia="仿宋_GB2312"/>
                <w:color w:val="000000"/>
                <w:sz w:val="24"/>
                <w:szCs w:val="24"/>
              </w:rPr>
              <w:t>水务集团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203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64</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加强信用信息共享，服务中小微企业融资</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根据</w:t>
            </w:r>
            <w:r>
              <w:rPr>
                <w:rFonts w:hint="eastAsia" w:ascii="仿宋_GB2312" w:hAnsi="仿宋_GB2312" w:cs="仿宋_GB2312"/>
                <w:color w:val="000000"/>
                <w:kern w:val="0"/>
                <w:sz w:val="24"/>
                <w:szCs w:val="24"/>
                <w:lang w:eastAsia="zh-CN"/>
              </w:rPr>
              <w:t>上级</w:t>
            </w:r>
            <w:r>
              <w:rPr>
                <w:rFonts w:hint="eastAsia" w:ascii="仿宋_GB2312" w:hAnsi="仿宋_GB2312" w:eastAsia="仿宋_GB2312" w:cs="仿宋_GB2312"/>
                <w:color w:val="000000"/>
                <w:kern w:val="0"/>
                <w:sz w:val="24"/>
                <w:szCs w:val="24"/>
              </w:rPr>
              <w:t>统一部署，配合建设融资服务平台省级节点，接收国家“总对总”共享的公共信用信息，归集地方有关部门报送的中小微企业信用信息，共享至省内融资服务平台,鼓励金融机构通过“金服云”“信易贷”“银税互动”等融资服务平台，应用公共信用信息，加大对中小微企业信贷投放力度。</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发改</w:t>
            </w:r>
            <w:r>
              <w:rPr>
                <w:rFonts w:hint="eastAsia" w:hAnsi="仿宋_GB2312"/>
                <w:color w:val="000000"/>
                <w:kern w:val="0"/>
                <w:sz w:val="24"/>
                <w:szCs w:val="24"/>
                <w:lang w:eastAsia="zh-CN"/>
              </w:rPr>
              <w:t>局</w:t>
            </w:r>
            <w:r>
              <w:rPr>
                <w:rFonts w:hAnsi="仿宋_GB2312" w:eastAsia="仿宋_GB2312"/>
                <w:color w:val="000000"/>
                <w:kern w:val="0"/>
                <w:sz w:val="24"/>
                <w:szCs w:val="24"/>
              </w:rPr>
              <w:t>、金融办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94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65</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加大小微企业信贷支持力度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ascii="仿宋_GB2312" w:hAnsi="仿宋_GB2312" w:eastAsia="仿宋_GB2312" w:cs="仿宋_GB2312"/>
                <w:color w:val="000000"/>
                <w:kern w:val="0"/>
                <w:sz w:val="24"/>
                <w:szCs w:val="24"/>
              </w:rPr>
              <w:t>鼓励银行业金融机构加大小微企业“首贷户”信贷支持力度，探索推广“首贷窗口、首贷热线、首贷保”等产品服务。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hAnsi="仿宋_GB2312"/>
                <w:color w:val="000000"/>
                <w:kern w:val="0"/>
                <w:sz w:val="24"/>
                <w:szCs w:val="24"/>
                <w:lang w:eastAsia="zh-CN"/>
              </w:rPr>
              <w:t>区金融办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61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66</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扩大政府性融资担保机构融资担保放大倍数</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Style w:val="13"/>
                <w:rFonts w:hint="eastAsia" w:ascii="仿宋_GB2312" w:hAnsi="仿宋_GB2312" w:eastAsia="仿宋_GB2312" w:cs="仿宋_GB2312"/>
                <w:sz w:val="24"/>
                <w:szCs w:val="24"/>
              </w:rPr>
              <w:t>将政府性融资担保对小微企业和“三农”主体</w:t>
            </w:r>
            <w:r>
              <w:rPr>
                <w:rStyle w:val="14"/>
                <w:rFonts w:hint="eastAsia" w:ascii="仿宋_GB2312" w:hAnsi="仿宋_GB2312" w:eastAsia="仿宋_GB2312" w:cs="仿宋_GB2312"/>
                <w:sz w:val="24"/>
                <w:szCs w:val="24"/>
              </w:rPr>
              <w:t>业务的平均年化担保费率纳入各地金融监管部门金融风险防控指标考核内容。</w:t>
            </w:r>
            <w:r>
              <w:rPr>
                <w:rFonts w:hint="eastAsia" w:ascii="仿宋_GB2312" w:hAnsi="仿宋_GB2312" w:eastAsia="仿宋_GB2312" w:cs="仿宋_GB2312"/>
                <w:color w:val="000000"/>
                <w:kern w:val="0"/>
                <w:sz w:val="24"/>
                <w:szCs w:val="24"/>
              </w:rPr>
              <w:t>政府性融资担保费率全部降至</w:t>
            </w:r>
            <w:r>
              <w:rPr>
                <w:rFonts w:eastAsia="仿宋_GB2312"/>
                <w:color w:val="000000"/>
                <w:kern w:val="0"/>
                <w:sz w:val="24"/>
                <w:szCs w:val="24"/>
              </w:rPr>
              <w:t>1.5%以下，</w:t>
            </w:r>
            <w:r>
              <w:rPr>
                <w:rStyle w:val="14"/>
                <w:rFonts w:hint="default" w:ascii="Times New Roman"/>
                <w:sz w:val="24"/>
                <w:szCs w:val="24"/>
              </w:rPr>
              <w:t>2022年末政府性融资担保机构融资担保放大倍数达到3.5倍。</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2023</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color w:val="000000"/>
                <w:kern w:val="0"/>
                <w:sz w:val="24"/>
                <w:szCs w:val="24"/>
                <w:lang w:eastAsia="zh-CN"/>
              </w:rPr>
              <w:t>区</w:t>
            </w:r>
            <w:r>
              <w:rPr>
                <w:rFonts w:eastAsia="仿宋_GB2312"/>
                <w:color w:val="000000"/>
                <w:kern w:val="0"/>
                <w:sz w:val="24"/>
                <w:szCs w:val="24"/>
              </w:rPr>
              <w:t>金融办、财政局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786"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67</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加大人才培育引进力度</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完善</w:t>
            </w:r>
            <w:r>
              <w:rPr>
                <w:rFonts w:hint="eastAsia"/>
                <w:color w:val="000000"/>
                <w:kern w:val="0"/>
                <w:sz w:val="24"/>
                <w:szCs w:val="24"/>
                <w:lang w:eastAsia="zh-CN"/>
              </w:rPr>
              <w:t>区</w:t>
            </w:r>
            <w:r>
              <w:rPr>
                <w:rFonts w:eastAsia="仿宋_GB2312"/>
                <w:color w:val="000000"/>
                <w:kern w:val="0"/>
                <w:sz w:val="24"/>
                <w:szCs w:val="24"/>
              </w:rPr>
              <w:t>级高层次人才认定和支持政策，落实用人单位自主认定条款。</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委人才办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68</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eastAsia="仿宋_GB2312"/>
                <w:color w:val="000000"/>
                <w:kern w:val="0"/>
                <w:sz w:val="24"/>
                <w:szCs w:val="24"/>
              </w:rPr>
              <w:t>加强涉外律师人才培养</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color w:val="000000"/>
                <w:kern w:val="0"/>
                <w:sz w:val="24"/>
                <w:szCs w:val="24"/>
                <w:lang w:eastAsia="zh-CN"/>
              </w:rPr>
              <w:t>探索建立</w:t>
            </w:r>
            <w:r>
              <w:rPr>
                <w:rFonts w:eastAsia="仿宋_GB2312"/>
                <w:color w:val="000000"/>
                <w:kern w:val="0"/>
                <w:sz w:val="24"/>
                <w:szCs w:val="24"/>
              </w:rPr>
              <w:t>涉外律师人才</w:t>
            </w:r>
            <w:r>
              <w:rPr>
                <w:rFonts w:hint="eastAsia"/>
                <w:color w:val="000000"/>
                <w:kern w:val="0"/>
                <w:sz w:val="24"/>
                <w:szCs w:val="24"/>
                <w:lang w:eastAsia="zh-CN"/>
              </w:rPr>
              <w:t>库，</w:t>
            </w:r>
            <w:r>
              <w:rPr>
                <w:rFonts w:eastAsia="仿宋_GB2312"/>
                <w:color w:val="000000"/>
                <w:kern w:val="0"/>
                <w:sz w:val="24"/>
                <w:szCs w:val="24"/>
              </w:rPr>
              <w:t>积极选派律师参加涉外律师专项培训，做好我</w:t>
            </w:r>
            <w:r>
              <w:rPr>
                <w:rFonts w:hint="eastAsia"/>
                <w:color w:val="000000"/>
                <w:kern w:val="0"/>
                <w:sz w:val="24"/>
                <w:szCs w:val="24"/>
                <w:lang w:eastAsia="zh-CN"/>
              </w:rPr>
              <w:t>区</w:t>
            </w:r>
            <w:r>
              <w:rPr>
                <w:rFonts w:eastAsia="仿宋_GB2312"/>
                <w:color w:val="000000"/>
                <w:kern w:val="0"/>
                <w:sz w:val="24"/>
                <w:szCs w:val="24"/>
              </w:rPr>
              <w:t>涉外律师人才申报推荐工作。</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hint="eastAsia"/>
                <w:color w:val="000000"/>
                <w:kern w:val="0"/>
                <w:sz w:val="24"/>
                <w:szCs w:val="24"/>
                <w:lang w:eastAsia="zh-CN"/>
              </w:rPr>
              <w:t>区</w:t>
            </w:r>
            <w:r>
              <w:rPr>
                <w:rFonts w:eastAsia="仿宋_GB2312"/>
                <w:color w:val="000000"/>
                <w:kern w:val="0"/>
                <w:sz w:val="24"/>
                <w:szCs w:val="24"/>
              </w:rPr>
              <w:t>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39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val="en-US" w:eastAsia="zh-CN"/>
              </w:rPr>
            </w:pPr>
            <w:r>
              <w:rPr>
                <w:rFonts w:hint="eastAsia"/>
                <w:color w:val="000000"/>
                <w:kern w:val="0"/>
                <w:sz w:val="24"/>
                <w:szCs w:val="24"/>
                <w:lang w:val="en-US" w:eastAsia="zh-CN"/>
              </w:rPr>
              <w:t>69</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kern w:val="0"/>
                <w:sz w:val="24"/>
                <w:szCs w:val="24"/>
              </w:rPr>
            </w:pPr>
            <w:r>
              <w:rPr>
                <w:rFonts w:eastAsia="仿宋_GB2312"/>
                <w:color w:val="000000"/>
                <w:kern w:val="0"/>
                <w:sz w:val="24"/>
                <w:szCs w:val="24"/>
              </w:rPr>
              <w:t>加强公立医院管理，提高医疗质量</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kern w:val="0"/>
                <w:sz w:val="24"/>
                <w:szCs w:val="24"/>
              </w:rPr>
            </w:pPr>
            <w:r>
              <w:rPr>
                <w:rFonts w:hint="eastAsia"/>
                <w:color w:val="000000"/>
                <w:spacing w:val="-6"/>
                <w:kern w:val="0"/>
                <w:sz w:val="24"/>
                <w:szCs w:val="24"/>
                <w:lang w:val="en-US" w:eastAsia="zh-CN"/>
              </w:rPr>
              <w:t>1.</w:t>
            </w:r>
            <w:r>
              <w:rPr>
                <w:rFonts w:eastAsia="仿宋_GB2312"/>
                <w:color w:val="000000"/>
                <w:spacing w:val="-6"/>
                <w:kern w:val="0"/>
                <w:sz w:val="24"/>
                <w:szCs w:val="24"/>
              </w:rPr>
              <w:t>落实预约诊疗、远程医疗、临床路径管理、检查检验结果互认、医务社工和志愿者等五项制度。2.推广多学科诊疗，打造一体化先进急诊急救服务模式，建设智慧医院，延伸提供优质护理服务，拓展药学服务新领域。</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kern w:val="0"/>
                <w:sz w:val="24"/>
                <w:szCs w:val="24"/>
              </w:rPr>
            </w:pPr>
            <w:r>
              <w:rPr>
                <w:rFonts w:eastAsia="仿宋_GB2312"/>
                <w:color w:val="000000"/>
                <w:kern w:val="0"/>
                <w:sz w:val="24"/>
                <w:szCs w:val="24"/>
              </w:rPr>
              <w:t>2022</w:t>
            </w:r>
            <w:r>
              <w:rPr>
                <w:rFonts w:hAnsi="仿宋_GB2312" w:eastAsia="仿宋_GB2312"/>
                <w:color w:val="000000"/>
                <w:kern w:val="0"/>
                <w:sz w:val="24"/>
                <w:szCs w:val="24"/>
              </w:rPr>
              <w:t>年底前</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kern w:val="0"/>
                <w:sz w:val="24"/>
                <w:szCs w:val="24"/>
                <w:lang w:eastAsia="zh-CN"/>
              </w:rPr>
            </w:pPr>
            <w:r>
              <w:rPr>
                <w:rFonts w:hint="eastAsia"/>
                <w:color w:val="000000"/>
                <w:kern w:val="0"/>
                <w:sz w:val="24"/>
                <w:szCs w:val="24"/>
                <w:lang w:eastAsia="zh-CN"/>
              </w:rPr>
              <w:t>区</w:t>
            </w:r>
            <w:r>
              <w:rPr>
                <w:rFonts w:eastAsia="仿宋_GB2312"/>
                <w:color w:val="000000"/>
                <w:kern w:val="0"/>
                <w:sz w:val="24"/>
                <w:szCs w:val="24"/>
              </w:rPr>
              <w:t>卫健</w:t>
            </w:r>
            <w:r>
              <w:rPr>
                <w:rFonts w:hint="eastAsia"/>
                <w:color w:val="000000"/>
                <w:kern w:val="0"/>
                <w:sz w:val="24"/>
                <w:szCs w:val="24"/>
                <w:lang w:eastAsia="zh-CN"/>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54" w:hRule="atLeast"/>
          <w:jc w:val="center"/>
        </w:trPr>
        <w:tc>
          <w:tcPr>
            <w:tcW w:w="13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b/>
                <w:color w:val="000000"/>
                <w:kern w:val="0"/>
                <w:sz w:val="24"/>
                <w:szCs w:val="24"/>
              </w:rPr>
            </w:pPr>
            <w:r>
              <w:rPr>
                <w:rFonts w:eastAsia="仿宋_GB2312"/>
                <w:b/>
                <w:color w:val="000000"/>
                <w:kern w:val="0"/>
                <w:sz w:val="24"/>
                <w:szCs w:val="24"/>
              </w:rPr>
              <w:t>四、提升国际化水平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00"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eastAsia="zh-CN"/>
              </w:rPr>
            </w:pPr>
            <w:r>
              <w:rPr>
                <w:rFonts w:eastAsia="仿宋_GB2312"/>
                <w:color w:val="000000"/>
                <w:kern w:val="0"/>
                <w:sz w:val="24"/>
                <w:szCs w:val="24"/>
              </w:rPr>
              <w:t>7</w:t>
            </w:r>
            <w:r>
              <w:rPr>
                <w:rFonts w:hint="eastAsia"/>
                <w:color w:val="000000"/>
                <w:kern w:val="0"/>
                <w:sz w:val="24"/>
                <w:szCs w:val="24"/>
                <w:lang w:val="en-US" w:eastAsia="zh-CN"/>
              </w:rPr>
              <w:t>0</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kern w:val="0"/>
                <w:sz w:val="24"/>
                <w:szCs w:val="24"/>
              </w:rPr>
              <w:t>对接高标准国际经贸规则</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Ansi="仿宋_GB2312" w:eastAsia="仿宋_GB2312"/>
                <w:color w:val="000000"/>
                <w:kern w:val="0"/>
                <w:sz w:val="24"/>
                <w:szCs w:val="24"/>
              </w:rPr>
              <w:t>对标</w:t>
            </w:r>
            <w:r>
              <w:rPr>
                <w:rFonts w:eastAsia="仿宋_GB2312"/>
                <w:color w:val="000000"/>
                <w:kern w:val="0"/>
                <w:sz w:val="24"/>
                <w:szCs w:val="24"/>
              </w:rPr>
              <w:t>RCEP</w:t>
            </w:r>
            <w:r>
              <w:rPr>
                <w:rFonts w:hAnsi="仿宋_GB2312" w:eastAsia="仿宋_GB2312"/>
                <w:color w:val="000000"/>
                <w:kern w:val="0"/>
                <w:sz w:val="24"/>
                <w:szCs w:val="24"/>
              </w:rPr>
              <w:t>等多双边协定有关条款，推进一批改革试点、创新举措、试点政策及合作项目。</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商务局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3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hint="eastAsia" w:eastAsia="仿宋_GB2312"/>
                <w:color w:val="000000"/>
                <w:sz w:val="24"/>
                <w:szCs w:val="24"/>
                <w:lang w:val="en-US" w:eastAsia="zh-CN"/>
              </w:rPr>
            </w:pPr>
            <w:r>
              <w:rPr>
                <w:rFonts w:hint="eastAsia"/>
                <w:color w:val="000000"/>
                <w:kern w:val="0"/>
                <w:sz w:val="24"/>
                <w:szCs w:val="24"/>
                <w:lang w:val="en-US" w:eastAsia="zh-CN"/>
              </w:rPr>
              <w:t>71</w:t>
            </w:r>
          </w:p>
        </w:tc>
        <w:tc>
          <w:tcPr>
            <w:tcW w:w="20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left"/>
              <w:textAlignment w:val="center"/>
              <w:rPr>
                <w:rFonts w:eastAsia="仿宋_GB2312"/>
                <w:color w:val="000000"/>
                <w:sz w:val="24"/>
                <w:szCs w:val="24"/>
              </w:rPr>
            </w:pPr>
            <w:r>
              <w:rPr>
                <w:rFonts w:hAnsi="仿宋_GB2312" w:eastAsia="仿宋_GB2312"/>
                <w:color w:val="000000"/>
                <w:spacing w:val="-6"/>
                <w:kern w:val="0"/>
                <w:sz w:val="24"/>
                <w:szCs w:val="24"/>
              </w:rPr>
              <w:t>优化进出口货物查询服务</w:t>
            </w:r>
          </w:p>
        </w:tc>
        <w:tc>
          <w:tcPr>
            <w:tcW w:w="73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textAlignment w:val="center"/>
              <w:rPr>
                <w:rFonts w:eastAsia="仿宋_GB2312"/>
                <w:color w:val="000000"/>
                <w:sz w:val="24"/>
                <w:szCs w:val="24"/>
              </w:rPr>
            </w:pPr>
            <w:r>
              <w:rPr>
                <w:rFonts w:hint="eastAsia" w:ascii="仿宋_GB2312" w:hAnsi="仿宋_GB2312" w:eastAsia="仿宋_GB2312" w:cs="仿宋_GB2312"/>
                <w:color w:val="000000"/>
                <w:kern w:val="0"/>
                <w:sz w:val="24"/>
                <w:szCs w:val="24"/>
              </w:rPr>
              <w:t>推广使用国家标准版“国际贸易单一窗口”，为企业及相关机构提供进出口货物全流程查询服务。</w:t>
            </w:r>
          </w:p>
        </w:tc>
        <w:tc>
          <w:tcPr>
            <w:tcW w:w="15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Ansi="仿宋_GB2312" w:eastAsia="仿宋_GB2312"/>
                <w:color w:val="000000"/>
                <w:kern w:val="0"/>
                <w:sz w:val="24"/>
                <w:szCs w:val="24"/>
              </w:rPr>
              <w:t>持续推进</w:t>
            </w:r>
          </w:p>
        </w:tc>
        <w:tc>
          <w:tcPr>
            <w:tcW w:w="2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rFonts w:eastAsia="仿宋_GB2312"/>
                <w:color w:val="000000"/>
                <w:sz w:val="24"/>
                <w:szCs w:val="24"/>
              </w:rPr>
            </w:pPr>
            <w:r>
              <w:rPr>
                <w:rFonts w:hint="eastAsia" w:hAnsi="仿宋_GB2312"/>
                <w:color w:val="000000"/>
                <w:kern w:val="0"/>
                <w:sz w:val="24"/>
                <w:szCs w:val="24"/>
                <w:lang w:eastAsia="zh-CN"/>
              </w:rPr>
              <w:t>区</w:t>
            </w:r>
            <w:r>
              <w:rPr>
                <w:rFonts w:hAnsi="仿宋_GB2312" w:eastAsia="仿宋_GB2312"/>
                <w:color w:val="000000"/>
                <w:kern w:val="0"/>
                <w:sz w:val="24"/>
                <w:szCs w:val="24"/>
              </w:rPr>
              <w:t>商务局</w:t>
            </w:r>
          </w:p>
        </w:tc>
      </w:tr>
    </w:tbl>
    <w:p>
      <w:pPr>
        <w:snapToGrid w:val="0"/>
        <w:spacing w:line="596" w:lineRule="exact"/>
        <w:textAlignment w:val="top"/>
        <w:rPr>
          <w:rFonts w:hint="eastAsia" w:ascii="仿宋_GB2312"/>
          <w:szCs w:val="31"/>
        </w:rPr>
      </w:pPr>
    </w:p>
    <w:p>
      <w:pPr>
        <w:spacing w:line="596" w:lineRule="exact"/>
        <w:textAlignment w:val="top"/>
        <w:rPr>
          <w:rFonts w:hint="eastAsia"/>
        </w:rPr>
        <w:sectPr>
          <w:headerReference r:id="rId3" w:type="default"/>
          <w:footerReference r:id="rId4" w:type="default"/>
          <w:pgSz w:w="16838" w:h="11906" w:orient="landscape"/>
          <w:pgMar w:top="1587" w:right="2098" w:bottom="1417" w:left="1588" w:header="851" w:footer="1361" w:gutter="0"/>
          <w:pgBorders>
            <w:top w:val="none" w:sz="0" w:space="0"/>
            <w:left w:val="none" w:sz="0" w:space="0"/>
            <w:bottom w:val="none" w:sz="0" w:space="0"/>
            <w:right w:val="none" w:sz="0" w:space="0"/>
          </w:pgBorders>
          <w:pgNumType w:fmt="numberInDash"/>
          <w:cols w:space="720" w:num="1"/>
          <w:rtlGutter w:val="0"/>
          <w:docGrid w:type="linesAndChars" w:linePitch="596" w:charSpace="1609"/>
        </w:sectPr>
      </w:pPr>
      <w:bookmarkStart w:id="3" w:name="BodyEnd"/>
      <w:bookmarkEnd w:id="3"/>
    </w:p>
    <w:p/>
    <w:p/>
    <w:p/>
    <w:p/>
    <w:p/>
    <w:p/>
    <w:p/>
    <w:p/>
    <w:p/>
    <w:p/>
    <w:p>
      <w:bookmarkStart w:id="4" w:name="_GoBack"/>
      <w:bookmarkEnd w:id="4"/>
    </w:p>
    <w:p/>
    <w:p/>
    <w:p/>
    <w:p>
      <w:pPr>
        <w:widowControl w:val="0"/>
        <w:wordWrap/>
        <w:adjustRightInd w:val="0"/>
        <w:snapToGrid w:val="0"/>
        <w:spacing w:before="0" w:after="0" w:line="240" w:lineRule="auto"/>
        <w:ind w:left="0" w:leftChars="0" w:right="0" w:firstLine="0" w:firstLineChars="0"/>
        <w:jc w:val="both"/>
        <w:textAlignment w:val="auto"/>
        <w:outlineLvl w:val="9"/>
        <w:rPr>
          <w:sz w:val="8"/>
          <w:szCs w:val="8"/>
        </w:rPr>
      </w:pPr>
    </w:p>
    <w:sectPr>
      <w:footerReference r:id="rId5" w:type="default"/>
      <w:pgSz w:w="11906" w:h="16838"/>
      <w:pgMar w:top="2098" w:right="1418" w:bottom="1588" w:left="1588" w:header="851" w:footer="1361" w:gutter="0"/>
      <w:pgBorders>
        <w:top w:val="none" w:sz="0" w:space="0"/>
        <w:left w:val="none" w:sz="0" w:space="0"/>
        <w:bottom w:val="none" w:sz="0" w:space="0"/>
        <w:right w:val="none" w:sz="0" w:space="0"/>
      </w:pgBorders>
      <w:pgNumType w:fmt="numberInDash"/>
      <w:cols w:space="720" w:num="1"/>
      <w:docGrid w:type="linesAndChars" w:linePitch="596" w:charSpace="16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hint="eastAsia"/>
      </w:rPr>
    </w:pPr>
    <w:r>
      <w:rPr>
        <w:rFonts w:ascii="Times New Roman" w:hAnsi="Times New Roman" w:eastAsia="仿宋_GB2312" w:cs="Times New Roman"/>
        <w:kern w:val="2"/>
        <w:sz w:val="18"/>
        <w:szCs w:val="18"/>
        <w:lang w:val="en-US" w:eastAsia="zh-CN" w:bidi="ar-SA"/>
      </w:rPr>
      <w:pict>
        <v:shape id="文本框15" o:spid="_x0000_s2050"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- 8 -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53"/>
  <w:drawingGridVerticalSpacing w:val="213"/>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gxNzkwMDExYWY3YzRiODcyNDY1MTVhZWI4MDBiZjYifQ=="/>
  </w:docVars>
  <w:rsids>
    <w:rsidRoot w:val="00000000"/>
    <w:rsid w:val="783739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szCs w:val="24"/>
      <w:lang w:val="en-US" w:eastAsia="zh-CN" w:bidi="ar-SA"/>
    </w:rPr>
  </w:style>
  <w:style w:type="paragraph" w:styleId="2">
    <w:name w:val="heading 1"/>
    <w:basedOn w:val="1"/>
    <w:next w:val="1"/>
    <w:qFormat/>
    <w:uiPriority w:val="0"/>
    <w:pPr>
      <w:keepNext/>
      <w:keepLines/>
      <w:spacing w:before="340" w:beforeAutospacing="0" w:after="330" w:afterAutospacing="0" w:line="576" w:lineRule="auto"/>
      <w:outlineLvl w:val="0"/>
    </w:pPr>
    <w:rPr>
      <w:b/>
      <w:kern w:val="44"/>
      <w:sz w:val="44"/>
    </w:rPr>
  </w:style>
  <w:style w:type="character" w:default="1" w:styleId="10">
    <w:name w:val="Default Paragraph Font"/>
    <w:link w:val="11"/>
    <w:semiHidden/>
    <w:qFormat/>
    <w:uiPriority w:val="0"/>
    <w:rPr>
      <w:rFonts w:ascii="Tahoma" w:hAnsi="Tahoma" w:eastAsia="宋体" w:cs="Tahoma"/>
      <w:sz w:val="24"/>
    </w:rPr>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jc w:val="center"/>
    </w:pPr>
    <w:rPr>
      <w:rFonts w:ascii="Times New Roman"/>
      <w:bCs/>
      <w:sz w:val="32"/>
      <w:szCs w:val="32"/>
    </w:rPr>
  </w:style>
  <w:style w:type="paragraph" w:styleId="4">
    <w:name w:val="Body Text Indent"/>
    <w:basedOn w:val="1"/>
    <w:next w:val="1"/>
    <w:qFormat/>
    <w:uiPriority w:val="0"/>
    <w:pPr>
      <w:ind w:firstLine="420"/>
    </w:pPr>
    <w:rPr>
      <w:rFonts w:eastAsia="仿宋_GB2312"/>
      <w:sz w:val="28"/>
    </w:r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ind w:firstLine="420"/>
      <w:jc w:val="left"/>
    </w:pPr>
  </w:style>
  <w:style w:type="paragraph" w:customStyle="1" w:styleId="11">
    <w:name w:val="Char Char Char Char"/>
    <w:basedOn w:val="1"/>
    <w:link w:val="10"/>
    <w:qFormat/>
    <w:uiPriority w:val="0"/>
    <w:rPr>
      <w:rFonts w:ascii="Tahoma" w:hAnsi="Tahoma" w:eastAsia="宋体" w:cs="Tahoma"/>
      <w:sz w:val="24"/>
    </w:rPr>
  </w:style>
  <w:style w:type="character" w:styleId="12">
    <w:name w:val="page number"/>
    <w:basedOn w:val="10"/>
    <w:qFormat/>
    <w:uiPriority w:val="0"/>
  </w:style>
  <w:style w:type="character" w:customStyle="1" w:styleId="13">
    <w:name w:val="font81"/>
    <w:qFormat/>
    <w:uiPriority w:val="0"/>
    <w:rPr>
      <w:rFonts w:hint="eastAsia" w:ascii="仿宋_GB2312" w:eastAsia="仿宋_GB2312" w:cs="仿宋_GB2312"/>
      <w:color w:val="000000"/>
      <w:sz w:val="24"/>
      <w:szCs w:val="24"/>
      <w:u w:val="none"/>
    </w:rPr>
  </w:style>
  <w:style w:type="character" w:customStyle="1" w:styleId="14">
    <w:name w:val="font61"/>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12680</Words>
  <Characters>12923</Characters>
  <Lines>0</Lines>
  <Paragraphs>0</Paragraphs>
  <TotalTime>0</TotalTime>
  <ScaleCrop>false</ScaleCrop>
  <LinksUpToDate>false</LinksUpToDate>
  <CharactersWithSpaces>12957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2022-03-01T05:17:00Z</dcterms:created>
  <dc:creator>莆田市府办管理员</dc:creator>
  <cp:lastModifiedBy>右手</cp:lastModifiedBy>
  <cp:lastPrinted>2023-01-18T02:16:00Z</cp:lastPrinted>
  <dcterms:modified xsi:type="dcterms:W3CDTF">2023-01-20T03:53:33Z</dcterms:modified>
  <dc:title>莆田市城厢区营商环境创新改革行动方案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3A00A39989D54614848BCC744F966254</vt:lpwstr>
  </property>
</Properties>
</file>