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lang w:val="en-US"/>
        </w:rPr>
      </w:pPr>
      <w:bookmarkStart w:id="0" w:name="_GoBack"/>
      <w:bookmarkEnd w:id="0"/>
      <w:r>
        <w:rPr>
          <w:rFonts w:hint="eastAsia" w:ascii="方正小标宋简体" w:hAnsi="方正小标宋简体" w:eastAsia="方正小标宋简体" w:cs="方正小标宋简体"/>
          <w:sz w:val="40"/>
          <w:szCs w:val="40"/>
          <w:lang w:val="en-US"/>
        </w:rPr>
        <w:t>莆田华林经济开发区西沙片区（欧雅艺术、</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lang w:val="en-US"/>
        </w:rPr>
      </w:pPr>
      <w:r>
        <w:rPr>
          <w:rFonts w:hint="eastAsia" w:ascii="方正小标宋简体" w:hAnsi="方正小标宋简体" w:eastAsia="方正小标宋简体" w:cs="方正小标宋简体"/>
          <w:sz w:val="40"/>
          <w:szCs w:val="40"/>
          <w:lang w:val="en-US"/>
        </w:rPr>
        <w:t>南兴针织、汽车站、华龙汽车装饰、西沙员工社区）</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rPr>
        <w:t>等项目建设征地拆迁补偿安置方案实施细则</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为维护征地拆迁当事人的合法权益，确保莆田华林经济开发区西沙片区（欧雅艺术、南兴针织、汽车站、华龙汽车装饰、西沙员工社区）等项目建设征地拆迁工作的顺利开展，简明房屋补偿、安置价格的测算方法，根据《土地管理法》等有关法律、法规和《莆田市各区征地拆迁补偿安置方案（暂行）》（莆政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2006]87号）等有关规定，结合项目实际情况，特制定本实施细则。</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征地、拆迁范围：</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项目征地拆迁范围：欧雅艺术、南兴针织、汽车站、华龙汽车装饰、西沙员工社区等项目已经闽政地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2005]399号、闽政地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2006]165号、闽政地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2007]292号、闽政地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2007]92号、闽政地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2007]330号等文件依法批准建设用地（项目的具体四至详见审批规划征地红线图为准）。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征迁当事人：</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项目的征地拆迁人（以下简称征迁人）：由莆田市城厢区人民政府负责组织实施该项目的征地拆迁安置。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项目被征地拆迁人（以下简称被征迁人）：征地拆迁范围内被征地拆迁的单位和个人。</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征迁补偿方式：</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房屋拆迁实行货币补偿或产权调换方式，被征迁人可以任选其中一种方式。被征迁人属国有或集体所有的房产等公共建筑用房，原则上实行货币补偿方式。</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补偿项目：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1、实行货币补偿方式的，补偿项目为：旧房补偿款、附属物补偿款、搬迁补助费（一次）、作价补助金、其它项目补助费。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2、实行产权调换方式的，补偿项目为：旧房补偿款、附属物补偿款、搬迁补助费（二次）、临时安置补助费、其它项目补助费。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第五条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旧房及附属物补偿标准：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1、根据《莆田市各区征地拆迁补偿安置方案（暂行）》公布重置价结合房屋结构、等</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lang w:val="en-US"/>
        </w:rPr>
        <w:t>成新等因素，对拆迁</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lang w:val="en-US"/>
        </w:rPr>
        <w:t>内各类房屋的补偿价格作相应的修正。</w:t>
      </w:r>
    </w:p>
    <w:tbl>
      <w:tblPr>
        <w:tblStyle w:val="4"/>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815"/>
        <w:gridCol w:w="2265"/>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2" w:type="dxa"/>
            <w:gridSpan w:val="4"/>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住宅用房补偿标准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结构</w:t>
            </w: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等级</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补偿重置价格（元／m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补偿单价的计算公式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框架</w:t>
            </w: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600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val="en-US" w:eastAsia="zh-CN"/>
              </w:rPr>
              <w:t>40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540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砖混</w:t>
            </w: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500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450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380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380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石混</w:t>
            </w: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500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450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420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砖木</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土木</w:t>
            </w: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420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380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380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c>
          <w:tcPr>
            <w:tcW w:w="181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w:t>
            </w:r>
          </w:p>
        </w:tc>
        <w:tc>
          <w:tcPr>
            <w:tcW w:w="226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330</w:t>
            </w:r>
          </w:p>
        </w:tc>
        <w:tc>
          <w:tcPr>
            <w:tcW w:w="368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成新系数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2" w:type="dxa"/>
            <w:gridSpan w:val="4"/>
            <w:vAlign w:val="center"/>
          </w:tcPr>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备注：1、房屋的结构、等级、成新等按附一、二相应标准执行。</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2、凡被拆迁的主屋为一层平房的，按建筑面积另加100元／m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给予补偿。</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3、计算补偿价格时，根据结构结合成新确定，等级成新按附二相应标准执行。</w:t>
            </w:r>
          </w:p>
        </w:tc>
      </w:tr>
    </w:tbl>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2、畜舍、禽舍等临时简易搭盖物按建筑面积5-20元／m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予以补偿，但不予安置；室外厕所、杂物间等附属房按建筑面积30-70元／m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予以补偿，但不予安置。有合法用地手续的，土地按70元／m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补偿；有合法用地手续的埕空地（含滴水地）按70元／m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补偿；征迁其他地上构筑物的补偿费按附三、四相应标准执行；果树、树木补偿标准按照附五相应标准执行。</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3、违章建筑原则上不予补偿安置，但结合实际情况，对按期搬迁并签订协议的，可按地上建筑物30元／m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给予的材料费补贴，但不予安置。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第六条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搬迁补助费标准：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搬迁补助费按被征迁旧房屋建筑面积计算，住宅、仓储、办公用房每次3元／m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，生产、营业用房每次4元／m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，搬迁补助费少于200元／次的按200元／次计。实行货币补偿的支付一次的搬迁补助费；实行产权置换的支付往返两次的搬迁补助费。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第七条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临时安置补助费标准：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根据项目实际情况，临时过渡由被征迁人投亲靠友或自行租赁住房等方式解决，征迁人支付给被征迁人临时安置补助费，临时安置补助费按拆迁住宅旧房屋的建筑面积计算，标准为：每月4元／m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，旧房屋的建筑面积低于30m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按30m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计，实行货币补偿的，征迁人不支付临时安置补助费。</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临时过渡期限为多层按24个月，小高层或高层按36个月；临时过渡时间按实结算，不足一个月按一个月计算，自被征迁人交付旧房之日起至安置房竣工验收</w:t>
      </w:r>
      <w:r>
        <w:rPr>
          <w:rFonts w:hint="eastAsia" w:ascii="仿宋_GB2312" w:hAnsi="仿宋_GB2312" w:eastAsia="仿宋_GB2312" w:cs="仿宋_GB2312"/>
          <w:sz w:val="32"/>
          <w:szCs w:val="32"/>
          <w:lang w:val="en-US" w:eastAsia="zh-CN"/>
        </w:rPr>
        <w:t>合</w:t>
      </w:r>
      <w:r>
        <w:rPr>
          <w:rFonts w:hint="eastAsia" w:ascii="仿宋_GB2312" w:hAnsi="仿宋_GB2312" w:eastAsia="仿宋_GB2312" w:cs="仿宋_GB2312"/>
          <w:sz w:val="32"/>
          <w:szCs w:val="32"/>
          <w:lang w:val="en-US"/>
        </w:rPr>
        <w:t>格公布通知结算之日止。</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因征迁人的责任造成逾期安置的，征迁人应对临时过渡的被征迁人从逾期安置之日起支付双倍临时安置补助费；因被征迁人的责任造成逾期安置的，征迁人不承担逾期安置和补助费的责任。</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其他项目补助费标准：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1、电话移机：按电信局现行标准58元／部•次计，产权调换按两次计。</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2、有线电视移机：按200元／户•次计（以有线电视证为凭），产权调换按两次计。</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第九条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实行货币补偿的标准：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实行货币补偿（作价补偿）的，有合法产权且无纠纷的被征迁房屋，被征迁人在领取拆迁补偿款外，由征迁人另行按照被拆迁旧房（住宅）建筑面积发给作价补助金200元／m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，不再享受安置房安置。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被征迁人实行货币安置后，不得再申请其它建房用地，凡违法占用其它建房的用地，应依法予以没收。</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补偿安置的条件：</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被征迁人符合以下条件之一的，应视为合法产权给予补偿安置。对虽无合法产权证件但符合以下条件之一的应视为合法产权给予补偿安置。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1、虽无产权源证件，但确系建国前建造的旧房或能确认为1982年4月30日前建造的</w:t>
      </w:r>
      <w:r>
        <w:rPr>
          <w:rFonts w:hint="eastAsia" w:ascii="仿宋_GB2312" w:hAnsi="仿宋_GB2312" w:eastAsia="仿宋_GB2312" w:cs="仿宋_GB2312"/>
          <w:sz w:val="32"/>
          <w:szCs w:val="32"/>
          <w:lang w:val="en-US" w:eastAsia="zh-CN"/>
        </w:rPr>
        <w:t>房</w:t>
      </w:r>
      <w:r>
        <w:rPr>
          <w:rFonts w:hint="eastAsia" w:ascii="仿宋_GB2312" w:hAnsi="仿宋_GB2312" w:eastAsia="仿宋_GB2312" w:cs="仿宋_GB2312"/>
          <w:sz w:val="32"/>
          <w:szCs w:val="32"/>
          <w:lang w:val="en-US"/>
        </w:rPr>
        <w:t>屋的。</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2、《土地管理法》、《城市规划法》实施前，批准建房手续虽不健全，但经历次清房（1982、</w:t>
      </w:r>
      <w:r>
        <w:rPr>
          <w:rFonts w:hint="eastAsia" w:ascii="仿宋_GB2312" w:hAnsi="仿宋_GB2312" w:eastAsia="仿宋_GB2312" w:cs="仿宋_GB2312"/>
          <w:sz w:val="32"/>
          <w:szCs w:val="32"/>
          <w:lang w:val="en-US" w:eastAsia="zh-CN"/>
        </w:rPr>
        <w:t>1986</w:t>
      </w:r>
      <w:r>
        <w:rPr>
          <w:rFonts w:hint="eastAsia" w:ascii="仿宋_GB2312" w:hAnsi="仿宋_GB2312" w:eastAsia="仿宋_GB2312" w:cs="仿宋_GB2312"/>
          <w:sz w:val="32"/>
          <w:szCs w:val="32"/>
          <w:lang w:val="en-US"/>
        </w:rPr>
        <w:t>、1991、1997年）或两权发证处理并补办有关手续和补交了款项的房地产。</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3、尚未办理产权证书，历年经国土、建设等部门行政处罚到位，确认为合法来源的房</w:t>
      </w:r>
      <w:r>
        <w:rPr>
          <w:rFonts w:hint="eastAsia" w:ascii="仿宋_GB2312" w:hAnsi="仿宋_GB2312" w:eastAsia="仿宋_GB2312" w:cs="仿宋_GB2312"/>
          <w:sz w:val="32"/>
          <w:szCs w:val="32"/>
          <w:lang w:val="en-US" w:eastAsia="zh-CN"/>
        </w:rPr>
        <w:t>屋</w:t>
      </w:r>
      <w:r>
        <w:rPr>
          <w:rFonts w:hint="eastAsia" w:ascii="仿宋_GB2312" w:hAnsi="仿宋_GB2312" w:eastAsia="仿宋_GB2312" w:cs="仿宋_GB2312"/>
          <w:sz w:val="32"/>
          <w:szCs w:val="32"/>
          <w:lang w:val="en-US"/>
        </w:rPr>
        <w:t>或一直作为住房使用且只有一处住房的。</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4、对少批多占的部分按原审批面积给予补偿和安置。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安置房位置与安置办法：</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1、安置房的位置：选择产权调换安置的，安置房集中在西沙员工社区范围内（支二路</w:t>
      </w:r>
      <w:r>
        <w:rPr>
          <w:rFonts w:hint="eastAsia" w:ascii="仿宋_GB2312" w:hAnsi="仿宋_GB2312" w:eastAsia="仿宋_GB2312" w:cs="仿宋_GB2312"/>
          <w:sz w:val="32"/>
          <w:szCs w:val="32"/>
          <w:lang w:val="en-US" w:eastAsia="zh-CN"/>
        </w:rPr>
        <w:t>旁</w:t>
      </w:r>
      <w:r>
        <w:rPr>
          <w:rFonts w:hint="eastAsia" w:ascii="仿宋_GB2312" w:hAnsi="仿宋_GB2312" w:eastAsia="仿宋_GB2312" w:cs="仿宋_GB2312"/>
          <w:sz w:val="32"/>
          <w:szCs w:val="32"/>
          <w:lang w:val="en-US"/>
        </w:rPr>
        <w:t>）用于选择安置，具体位置详见安置示意图（户型结构、面积、朝向等应以最后批准的</w:t>
      </w:r>
      <w:r>
        <w:rPr>
          <w:rFonts w:hint="eastAsia" w:ascii="仿宋_GB2312" w:hAnsi="仿宋_GB2312" w:eastAsia="仿宋_GB2312" w:cs="仿宋_GB2312"/>
          <w:sz w:val="32"/>
          <w:szCs w:val="32"/>
          <w:lang w:val="en-US" w:eastAsia="zh-CN"/>
        </w:rPr>
        <w:t>建筑方案为准）。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2、安置房状况：建筑面积根据拆迁房屋及安置需要，具体安置房的建筑结构，面积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层数、朝向及户型已经批准的建筑设计方案为准实施。安置房为钢筋混凝土框架结构，</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lang w:val="en-US"/>
        </w:rPr>
        <w:t>程质量达到合格为准，外墙面以规划审批为准，内墙面和天棚抹白灰，楼面为钢筋混凝土楼板、不抹面，入户楼梯口安装对讲防盗门，不安装内门窗，厨房与卫生间各配一水龙头，客厅与房间各配一灯、一开关，厨房不垒砌灶台、洗菜池、卫生间不设卫生洁具。被征迁人旧房已办理自来水、用电立户手续的，经自来水公司、电业局同意可以办理安置房水电立户变更手续，予以办理变更手续或重新办理立户手续，但水电增容部分的费用由被征迁人另行承担，旧房没有办理水、电立户手续的办理安置房立户手续及其费用由被征迁人自行负责。</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选房规则：根据"拆一还一、差价互补"的原则，选房时应靠最接近于旧房建筑面积的套型选择安置房，即安置房总建筑面积应最接近于旧房总建筑面积．对按时丈量评估及签约的，在选房时，其安置房超面积部分的面积可以在旧房建筑占地面积的30％以内（最多不超过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)．旧房建筑面积少于30m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（含30m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）的，不予安置，只实行货币补偿</w:t>
      </w:r>
      <w:r>
        <w:rPr>
          <w:rFonts w:hint="eastAsia" w:ascii="仿宋_GB2312" w:hAnsi="仿宋_GB2312" w:eastAsia="仿宋_GB2312" w:cs="仿宋_GB2312"/>
          <w:sz w:val="32"/>
          <w:szCs w:val="32"/>
          <w:lang w:val="en-US" w:eastAsia="zh-CN"/>
        </w:rPr>
        <w:t>。</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4、签约顺序：按照丈量得分的高低顺序依次进行签约，先签约的先选择安置房及储藏间，得分相同的，抽签确定签约的先后顺序。</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5、丈量得分评分办法：凡在征迁人通知丈量之日起，第一天丈量评估的得分50分，以后每推迟一天丈量评估的扣5分／天，没有零分界限。</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丈量评估实行申报登记制度，即拟丈量的被征迁人可直接向征迁人或征迁工作人员申报登记丈量评估，申报日期即视为丈量日期并确定其丈量得分。如虽有申报登记，但在征迁工作人员入户丈量评估时拒绝丈量评估的，则申报日期无效，以实际丈量日期确定其丈量得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6、关于分户问题：安置方式以户为单位（以户口簿为准），安置对象原则上为土地房屋权属来源资料体现的产权人，但同一户口簿多子女的家庭，在被征迁前已成婚未分家或已达晚婚年龄未婚的，经征迁人同意后可以分户；按子女分户的，父母的居所由子女负责安排，不另行单独分户安排安置。</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7、物业管理费：安置房物业管理费给予适当补贴，第一年100％补贴，之后逐年按10％递减，期限十年。</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安置房计价标准：</w:t>
      </w:r>
    </w:p>
    <w:p>
      <w:pPr>
        <w:widowControl w:val="0"/>
        <w:wordWrap/>
        <w:adjustRightInd w:val="0"/>
        <w:snapToGrid w:val="0"/>
        <w:spacing w:before="0" w:after="0" w:line="324"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1、多层安置房计价（不含室内水电线路，卫生洁具费用）标准：安置房面积与旧房建筑面积相等的部分，按安置价600元／m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计价；安置房面积超过旧房建筑面积15％以内（含15%）的部分，按优惠价780元／m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计价；安置房面积超过优惠价的面积15％以内（含15%）的部</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val="en-US"/>
        </w:rPr>
        <w:t>，按成本价880元／m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个别因结构原因选购安置房面积超过旧房建筑面积30％以上按市场价1698元／m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计价。上述安置价、优惠价、成本价、市场价均指各楼层的平均价，安置房层次差的调节系数如下（%)</w:t>
      </w:r>
    </w:p>
    <w:tbl>
      <w:tblPr>
        <w:tblStyle w:val="4"/>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7"/>
        <w:gridCol w:w="870"/>
        <w:gridCol w:w="869"/>
        <w:gridCol w:w="871"/>
        <w:gridCol w:w="869"/>
        <w:gridCol w:w="871"/>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09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套房所在层次</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二层</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三层</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四层</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五层</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六层</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97"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七层（含底层店面或工具间）</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097"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六层（含底层店面或工具间）</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6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87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val="en-US"/>
              </w:rPr>
            </w:pPr>
          </w:p>
        </w:tc>
      </w:tr>
    </w:tbl>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2、小高层（高层）安置房计价（不含室内水电线路，卫生洁具费用）标准：2-6层计价标准：安置房面积与旧房建筑面积相等的部分，按安置价600元／m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计价；安置房面积超过旧房建筑面积15％以内（含15%）的部分，按优惠价780元／m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计价；安置房面积超过优惠价的面积15%以内（含15%）的部分，按成本价880元／m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计价；个别因结构原因选购安置房面积超过旧房建筑面积30％以上按市场价1868元／m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计价。第7层计价：按照安置房面积与旧房建筑面积相等的部分按安置价起价（七层起）650元／m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计价；安置房面积超过旧房建筑面积15％以内（含15%）的部分按优惠价起价（七层起）830元／m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计价；安置房面积超过优惠价的面积15％以内（含15%）的部分按成本价起价（七层起）930元／m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计价；个别因结构原因选购安置房面积超过旧房的建筑面积30％以上按市场价起价（七层起）1898元／m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计价（每增加一层加20元／m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安置房底层设计为工具间或储藏间，位置、面积以设计为准，原则上根据开发区的实际情况，为了结合被征迁人带来生活经济保障，每户安置房配一间工具间或储藏间，数量有限，选完为止，安置的工具间或储藏间面积应先以旧房建筑面积相折抵，拆抵后剩余的旧房建筑用于安置套房，工具间的安置价880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计价，储藏间的安置价600元／m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计价。</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丈量规则：</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被征迁房屋面积的丈量、计算按照国家颁发的《建筑面积计算规则》执行。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被征迁的单位或个人应在经核对无误的原始丈量登记记录表上签名或盖章。有异议的应书面提出（应在公示有效期内提出，否则视为无异议），双方应及时按有关规定重新核对。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rPr>
        <w:t>第十四条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奖励措施：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1、丈量评估奖励：凡在征迁人公布的丈量评估期限内按时配合完成丈量评估的，在签约时</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rPr>
        <w:t>旧房建筑面积奖励50元／m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2、签约奖励：凡在征迁人通知签约之日起第一天签约的，按旧房建筑面积奖励100元／m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，第二天签约的奖励50元／m</w:t>
      </w:r>
      <w:r>
        <w:rPr>
          <w:rFonts w:hint="eastAsia" w:ascii="仿宋_GB2312" w:hAnsi="仿宋_GB2312" w:eastAsia="仿宋_GB2312" w:cs="仿宋_GB2312"/>
          <w:sz w:val="32"/>
          <w:szCs w:val="32"/>
          <w:vertAlign w:val="superscript"/>
          <w:lang w:val="en-US"/>
        </w:rPr>
        <w:t>2</w:t>
      </w:r>
      <w:r>
        <w:rPr>
          <w:rFonts w:hint="eastAsia" w:ascii="仿宋_GB2312" w:hAnsi="仿宋_GB2312" w:eastAsia="仿宋_GB2312" w:cs="仿宋_GB2312"/>
          <w:sz w:val="32"/>
          <w:szCs w:val="32"/>
          <w:lang w:val="en-US"/>
        </w:rPr>
        <w:t>；超过规定期限签约的不予奖励。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3、上述各阶段的具体日期以征迁人通知的时间为准。未按时丈量、签约的，一概不予奖励。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4、被征迁人应在规定的期限内按时交房，未按时交房的，取消被征迁人全部奖励，且不予享受超面积的价格优惠等，增加安置的面积一律按市场价格计取。</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rPr>
        <w:t>第十五条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签约须知：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签订拆迁补偿安置协议时，被征迁人须持有以下证件：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1、产权所有人的身份证原件、户口簿原件，房屋权属材料原件、原水电立户及交款凭证。</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2、土地使用权证原件、房屋所有权证原件或者其他房地产权属证明。</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3、由他人代为签约的，应出具委托人经公证机构认证的授权委托书。</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第十六条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款项结算办法：</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1、选择货币补偿方式的，在达成协议并办理交房手续后五日内（在被征迁人办理水电销户手续及理顺被拆迁房屋的租赁关系后），由征迁人支付给被征迁人拆迁补偿款。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选择产权调换方式的，旧房拆迁补偿款与安置房价款对抵后，剩余款项在签约并办理交房手续后五日内由征迁人支付给被征迁人；不足款项（差价款）由被征迁人按安置房建设进度支付给征迁人（具体以协议约定为准），即：</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①安置房签约时，付差价款的25%;</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②安置房主体工程四层楼间砼施工时，付差价款的50%;</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③安置房主体封顶时，付差价款的20%;</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④安置房竣工验收合格交付使用前，按实结算，付清余款。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3、如逾期交款的视为被征迁人放弃选择安置房，征迁人有权收回安置房。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第十七条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安置房</w:t>
      </w:r>
      <w:r>
        <w:rPr>
          <w:rFonts w:hint="eastAsia" w:ascii="黑体" w:hAnsi="黑体" w:eastAsia="黑体" w:cs="黑体"/>
          <w:sz w:val="32"/>
          <w:szCs w:val="32"/>
          <w:lang w:val="en-US" w:eastAsia="zh-CN"/>
        </w:rPr>
        <w:t>“</w:t>
      </w:r>
      <w:r>
        <w:rPr>
          <w:rFonts w:hint="eastAsia" w:ascii="黑体" w:hAnsi="黑体" w:eastAsia="黑体" w:cs="黑体"/>
          <w:sz w:val="32"/>
          <w:szCs w:val="32"/>
          <w:lang w:val="en-US"/>
        </w:rPr>
        <w:t>产权证件</w:t>
      </w:r>
      <w:r>
        <w:rPr>
          <w:rFonts w:hint="eastAsia" w:ascii="黑体" w:hAnsi="黑体" w:eastAsia="黑体" w:cs="黑体"/>
          <w:sz w:val="32"/>
          <w:szCs w:val="32"/>
          <w:lang w:val="en-US" w:eastAsia="zh-CN"/>
        </w:rPr>
        <w:t>”</w:t>
      </w:r>
      <w:r>
        <w:rPr>
          <w:rFonts w:hint="eastAsia" w:ascii="黑体" w:hAnsi="黑体" w:eastAsia="黑体" w:cs="黑体"/>
          <w:sz w:val="32"/>
          <w:szCs w:val="32"/>
          <w:lang w:val="en-US"/>
        </w:rPr>
        <w:t>办理：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安置区新建房屋的土地使用证、房屋所有权证（简称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两证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由征迁人负责统一申报办理，原被征迁房屋的权属证件（两证）在签订房屋拆迁补偿安置协议时统一收回交相关部门注销，等面积同功能部分免收办证费用，超面积部分的税费用由被征迁人承担；没有权属证件（两证）的，办证税费用由被征迁人自行承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第十八条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其它附则：</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1、旧房一律实行统拆，由征迁人委托具备相应资质和保证安全条件的施工单位统一拆除。若发现自拆的，扣回统拆与自拆的差价款。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2、本实施细则的最终解释权归征迁人所有。</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3、本实施细则自公布之日起实施。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附件：附一：房屋重置价格表</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附二：房屋成新程度评定标准表：房屋耐用年限</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附三：征迁地上构筑物补偿单价</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附四：征收其他地上附着物补偿标准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附五：莆田市征用土地各类果树补偿标准</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rPr>
        <w:br w:type="page"/>
      </w:r>
      <w:r>
        <w:rPr>
          <w:rFonts w:hint="eastAsia" w:ascii="黑体" w:hAnsi="黑体" w:eastAsia="黑体" w:cs="黑体"/>
          <w:sz w:val="32"/>
          <w:szCs w:val="32"/>
          <w:lang w:val="en-US" w:eastAsia="zh-CN"/>
        </w:rPr>
        <w:t>附表一：</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房屋重置价格表</w:t>
      </w:r>
    </w:p>
    <w:tbl>
      <w:tblPr>
        <w:tblStyle w:val="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600"/>
        <w:gridCol w:w="5295"/>
        <w:gridCol w:w="1250"/>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blHeader/>
          <w:jc w:val="center"/>
        </w:trPr>
        <w:tc>
          <w:tcPr>
            <w:tcW w:w="82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种类</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等级</w:t>
            </w:r>
          </w:p>
        </w:tc>
        <w:tc>
          <w:tcPr>
            <w:tcW w:w="529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房屋特征</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重置价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（元</w:t>
            </w:r>
            <w:r>
              <w:rPr>
                <w:rFonts w:hint="eastAsia" w:ascii="黑体" w:hAnsi="黑体" w:eastAsia="黑体" w:cs="黑体"/>
                <w:sz w:val="24"/>
                <w:szCs w:val="24"/>
                <w:lang w:val="en-US" w:eastAsia="zh-CN"/>
              </w:rPr>
              <w:t>/㎡</w:t>
            </w:r>
            <w:r>
              <w:rPr>
                <w:rFonts w:hint="eastAsia" w:ascii="黑体" w:hAnsi="黑体" w:eastAsia="黑体" w:cs="黑体"/>
                <w:sz w:val="24"/>
                <w:szCs w:val="24"/>
                <w:lang w:eastAsia="zh-CN"/>
              </w:rPr>
              <w:t>）</w:t>
            </w:r>
          </w:p>
        </w:tc>
        <w:tc>
          <w:tcPr>
            <w:tcW w:w="199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82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框</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架</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构</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砖墙18cm以上，层高2.8m以上，钢筋砼柱梁板基础承重，屋面隔热层，外墙面砖，内墙、天棚面水泥漆，局部天棚有吊顶，楼地面贴石板材，部分构件、内墙面贵重材料装修</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铝合金门窗、部分木门、水、电齐全。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600</w:t>
            </w:r>
          </w:p>
        </w:tc>
        <w:tc>
          <w:tcPr>
            <w:tcW w:w="1993" w:type="dxa"/>
            <w:vMerge w:val="restart"/>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1、评估标的物与表中建筑物主要特征相同或类似符合即可。</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2、本表是房屋拆迁等级补偿标准，在房屋评估时，根据房屋不同情况，应考虑折旧成新。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砖墙18cm以上，层高2.8m以上，钢筋砼柱梁板基础承重，屋面隔热层，外墙面砖，内墙、天棚面中级抹灰（或涂料抹面），楼地面贴面砖，铝合金门窗、部分木门、水、电齐全。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82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构</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砖墙18cm以上，层高2.8m以上，钢筋砼基础</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梁板、砖墙承重，屋面隔热层，外墙面砖，内墙、天棚面水泥漆，局部天棚有吊顶，楼地面石板材料，部分构件、内墙面贵重材料装修，铝合金门窗、部分木门、水、电齐全。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砖墙18cm以上，层高2.8m以上，钢筋砼基础</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梁板、砖墙承重，外墙面砖，内墙、天棚面中级抹灰（或涂料抹面），楼地面贴面砖，铝合金门窗、部分木门、水、电齐全。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砖墙18cm以上，层高2.8m以上，钢筋砼基础</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梁板、砖墙承重，楼地面，无内外装修，普通照明敷管穿线。</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2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构</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条石墙，层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2.8m以上，石楼板，外墙面贴面砖（或水磨、二凿以上加工），内墙面水泥漆，天棚吊顶，楼地面贴石板材，部分构件</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rPr>
              <w:t>内墙面贵重材料装修，铝合金窗、木门、水、电齐全</w:t>
            </w:r>
            <w:r>
              <w:rPr>
                <w:rFonts w:hint="eastAsia" w:ascii="仿宋_GB2312" w:hAnsi="仿宋_GB2312" w:eastAsia="仿宋_GB2312" w:cs="仿宋_GB2312"/>
                <w:sz w:val="24"/>
                <w:szCs w:val="24"/>
                <w:lang w:val="en-US" w:eastAsia="zh-CN"/>
              </w:rPr>
              <w:t>。</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条石墙，层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2.8m以上，石楼板（或木楼板），石板（或木瓦）屋盖，石墙面粗打（或一凿）加工，内墙、天棚面中级抹灰，楼地面贴面砖，普通木门窗、水、电齐全</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毛石墙，层</w:t>
            </w:r>
            <w:r>
              <w:rPr>
                <w:rFonts w:hint="eastAsia"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rPr>
              <w:t>2.8m以上，木瓦屋盖，石墙面</w:t>
            </w:r>
            <w:r>
              <w:rPr>
                <w:rFonts w:hint="eastAsia" w:ascii="仿宋_GB2312" w:hAnsi="仿宋_GB2312" w:eastAsia="仿宋_GB2312" w:cs="仿宋_GB2312"/>
                <w:sz w:val="24"/>
                <w:szCs w:val="24"/>
                <w:lang w:val="en-US" w:eastAsia="zh-CN"/>
              </w:rPr>
              <w:t>粗</w:t>
            </w:r>
            <w:r>
              <w:rPr>
                <w:rFonts w:hint="eastAsia" w:ascii="仿宋_GB2312" w:hAnsi="仿宋_GB2312" w:eastAsia="仿宋_GB2312" w:cs="仿宋_GB2312"/>
                <w:sz w:val="24"/>
                <w:szCs w:val="24"/>
                <w:lang w:val="en-US"/>
              </w:rPr>
              <w:t>打加工，内装修普通，木门窗，简易照明。</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2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（土）</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木</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构</w:t>
            </w: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砖墙24cm以上，层高3.2m以上（</w:t>
            </w:r>
            <w:r>
              <w:rPr>
                <w:rFonts w:hint="eastAsia" w:ascii="仿宋_GB2312" w:hAnsi="仿宋_GB2312" w:eastAsia="仿宋_GB2312" w:cs="仿宋_GB2312"/>
                <w:sz w:val="24"/>
                <w:szCs w:val="24"/>
                <w:lang w:val="en-US" w:eastAsia="zh-CN"/>
              </w:rPr>
              <w:t>旧</w:t>
            </w:r>
            <w:r>
              <w:rPr>
                <w:rFonts w:hint="eastAsia" w:ascii="仿宋_GB2312" w:hAnsi="仿宋_GB2312" w:eastAsia="仿宋_GB2312" w:cs="仿宋_GB2312"/>
                <w:sz w:val="24"/>
                <w:szCs w:val="24"/>
                <w:lang w:val="en-US"/>
              </w:rPr>
              <w:t>式大厝），地面铺砖，木瓦屋盖，清水砖墙，上等木门窗，石构件。</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420</w:t>
            </w:r>
          </w:p>
        </w:tc>
        <w:tc>
          <w:tcPr>
            <w:tcW w:w="1993" w:type="dxa"/>
            <w:vMerge w:val="restart"/>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1、评估标的物与表中建筑物主要特征相同或类似符合即可。</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2、本表是房屋拆迁等级补偿标准，在房屋评估时，根据房</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屋不同情况，应考虑折旧成新。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w:t>
            </w:r>
          </w:p>
        </w:tc>
        <w:tc>
          <w:tcPr>
            <w:tcW w:w="5295" w:type="dxa"/>
            <w:vAlign w:val="center"/>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砖墙（土丕墙）24cm以上，地面铺砖，木瓦屋面，木门窗，木柱，木隔墙，简易照明。</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2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c>
          <w:tcPr>
            <w:tcW w:w="60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w:t>
            </w:r>
          </w:p>
        </w:tc>
        <w:tc>
          <w:tcPr>
            <w:tcW w:w="529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砖墙（土丕墙）24cm以上，三合土地面，木瓦屋</w:t>
            </w:r>
            <w:r>
              <w:rPr>
                <w:rFonts w:hint="eastAsia" w:ascii="仿宋_GB2312" w:hAnsi="仿宋_GB2312" w:eastAsia="仿宋_GB2312" w:cs="仿宋_GB2312"/>
                <w:sz w:val="24"/>
                <w:szCs w:val="24"/>
                <w:lang w:val="en-US" w:eastAsia="zh-CN"/>
              </w:rPr>
              <w:t>盖</w:t>
            </w:r>
            <w:r>
              <w:rPr>
                <w:rFonts w:hint="eastAsia" w:ascii="仿宋_GB2312" w:hAnsi="仿宋_GB2312" w:eastAsia="仿宋_GB2312" w:cs="仿宋_GB2312"/>
                <w:sz w:val="24"/>
                <w:szCs w:val="24"/>
                <w:lang w:val="en-US"/>
              </w:rPr>
              <w:t>，木门窗，简易照明。</w:t>
            </w:r>
          </w:p>
        </w:tc>
        <w:tc>
          <w:tcPr>
            <w:tcW w:w="125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330</w:t>
            </w:r>
          </w:p>
        </w:tc>
        <w:tc>
          <w:tcPr>
            <w:tcW w:w="1993"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附表二：</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房屋成新程度评定</w:t>
      </w:r>
      <w:r>
        <w:rPr>
          <w:rFonts w:hint="eastAsia" w:ascii="黑体" w:hAnsi="黑体" w:eastAsia="黑体" w:cs="黑体"/>
          <w:sz w:val="32"/>
          <w:szCs w:val="32"/>
          <w:lang w:val="en-US" w:eastAsia="zh-CN"/>
        </w:rPr>
        <w:t>标准表</w:t>
      </w:r>
    </w:p>
    <w:tbl>
      <w:tblPr>
        <w:tblStyle w:val="4"/>
        <w:tblW w:w="998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782"/>
        <w:gridCol w:w="5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质量等级</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成新程度</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完好房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十、九、八成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全面完好评十成，接近基本完好评八成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基本完好房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八、七、六成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一般损坏房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五、四成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接近基本完好评五成，接近严重损坏房评四成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严重损坏房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三成</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危险房</w:t>
            </w:r>
          </w:p>
        </w:tc>
        <w:tc>
          <w:tcPr>
            <w:tcW w:w="278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三成以下</w:t>
            </w:r>
          </w:p>
        </w:tc>
        <w:tc>
          <w:tcPr>
            <w:tcW w:w="50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房屋耐用年限</w:t>
      </w:r>
    </w:p>
    <w:tbl>
      <w:tblPr>
        <w:tblStyle w:val="4"/>
        <w:tblW w:w="99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842"/>
        <w:gridCol w:w="2774"/>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房屋结构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耐用年限</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框架结构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60～80年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2个等级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砖混结构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45～60年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石混结构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45～60年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砖木结构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石木结构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3个等级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土木结构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木结构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25～50年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4个等级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5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84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简易结构</w:t>
            </w:r>
          </w:p>
        </w:tc>
        <w:tc>
          <w:tcPr>
            <w:tcW w:w="27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5～15年</w:t>
            </w:r>
          </w:p>
        </w:tc>
        <w:tc>
          <w:tcPr>
            <w:tcW w:w="31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rPr>
              <w:t>油毡、波纹瓦屋面</w:t>
            </w:r>
          </w:p>
        </w:tc>
      </w:tr>
    </w:tbl>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说明：房屋成新与建筑质量、使用年限、平时维修等有关。</w:t>
      </w: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rPr>
        <w:t>能住人的房屋成新评估不得低于五成。</w:t>
      </w: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right="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附表三：</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征迁地上构筑物补偿单价</w:t>
      </w:r>
    </w:p>
    <w:tbl>
      <w:tblPr>
        <w:tblStyle w:val="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98"/>
        <w:gridCol w:w="1305"/>
        <w:gridCol w:w="1363"/>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0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w:t>
            </w:r>
          </w:p>
        </w:tc>
        <w:tc>
          <w:tcPr>
            <w:tcW w:w="4385"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  拆</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  拆</w:t>
            </w:r>
          </w:p>
        </w:tc>
        <w:tc>
          <w:tcPr>
            <w:tcW w:w="4385" w:type="dxa"/>
            <w:vMerge w:val="continue"/>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夯土围墙</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12.4元/㎡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毛石基础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砖围墙</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17.4元/㎡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条石或毛石基础，24墙取上限，18墙取下限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石砌围墙</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水泥埕</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沙石基础取上限，沙基础取下限。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砖埕</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石埕</w:t>
            </w:r>
          </w:p>
        </w:tc>
        <w:tc>
          <w:tcPr>
            <w:tcW w:w="130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31元/㎡</w:t>
            </w:r>
          </w:p>
        </w:tc>
        <w:tc>
          <w:tcPr>
            <w:tcW w:w="136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露天洗衣台</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露天厕所</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125元/坑</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石砖水井</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435元/口</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vMerge w:val="restart"/>
            <w:textDirection w:val="lrTbV"/>
            <w:vAlign w:val="center"/>
          </w:tcPr>
          <w:p>
            <w:pPr>
              <w:widowControl w:val="0"/>
              <w:wordWrap/>
              <w:adjustRightInd w:val="0"/>
              <w:snapToGrid w:val="0"/>
              <w:spacing w:before="0" w:after="0" w:line="240" w:lineRule="auto"/>
              <w:ind w:lef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098"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家用柴煤灶</w:t>
            </w:r>
          </w:p>
        </w:tc>
        <w:tc>
          <w:tcPr>
            <w:tcW w:w="2668" w:type="dxa"/>
            <w:gridSpan w:val="2"/>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单口60元/个</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双口100元/个</w:t>
            </w:r>
          </w:p>
        </w:tc>
        <w:tc>
          <w:tcPr>
            <w:tcW w:w="438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vMerge w:val="continue"/>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98"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668" w:type="dxa"/>
            <w:gridSpan w:val="2"/>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厨房水池</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48元/个</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瓷砖贴墙面</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水磨石地面</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瓷缸砖地面</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水泥砖地面</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胶合板吊顶</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石棉、钙塑板吊顶</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30元/㎡</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五年以上的折半补偿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电话移机费</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按实结算</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回迁户按两次计算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9" w:type="dxa"/>
            <w:textDirection w:val="lrTbV"/>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09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有线电视移动费</w:t>
            </w:r>
          </w:p>
        </w:tc>
        <w:tc>
          <w:tcPr>
            <w:tcW w:w="2668"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按实结算</w:t>
            </w:r>
          </w:p>
        </w:tc>
        <w:tc>
          <w:tcPr>
            <w:tcW w:w="4385"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回迁户按两次计算</w:t>
            </w:r>
          </w:p>
        </w:tc>
      </w:tr>
    </w:tbl>
    <w:p>
      <w:pPr>
        <w:widowControl w:val="0"/>
        <w:wordWrap/>
        <w:adjustRightInd w:val="0"/>
        <w:snapToGrid w:val="0"/>
        <w:spacing w:before="0" w:after="0" w:line="336" w:lineRule="auto"/>
        <w:ind w:right="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黑体" w:hAnsi="黑体" w:eastAsia="黑体" w:cs="黑体"/>
          <w:sz w:val="32"/>
          <w:szCs w:val="32"/>
          <w:lang w:val="en-US" w:eastAsia="zh-CN"/>
        </w:rPr>
        <w:t>附表四：</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征收其他地上附着物补偿标准</w:t>
      </w:r>
    </w:p>
    <w:tbl>
      <w:tblPr>
        <w:tblStyle w:val="4"/>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691"/>
        <w:gridCol w:w="1541"/>
        <w:gridCol w:w="171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名称</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结构规格</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单价（元）</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条石干砌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块石浆砌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挡土墙</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块石干砌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涵洞</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石材浆砌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田间石井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田间砖井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砖砌</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水泥井壁</w:t>
            </w: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庭院水井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石大井</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立方米</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（石方）</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直径大于3米的单价减半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砖石粪池</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平方米</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80</w:t>
            </w:r>
          </w:p>
        </w:tc>
        <w:tc>
          <w:tcPr>
            <w:tcW w:w="323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坟墓</w:t>
            </w: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砖、石构建</w:t>
            </w:r>
          </w:p>
        </w:tc>
        <w:tc>
          <w:tcPr>
            <w:tcW w:w="1541"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w:t>
            </w: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3232" w:type="dxa"/>
            <w:vMerge w:val="restart"/>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钵装的每具100元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77"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69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土堆</w:t>
            </w:r>
          </w:p>
        </w:tc>
        <w:tc>
          <w:tcPr>
            <w:tcW w:w="1541"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71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w:t>
            </w:r>
          </w:p>
        </w:tc>
        <w:tc>
          <w:tcPr>
            <w:tcW w:w="3232" w:type="dxa"/>
            <w:vMerge w:val="continue"/>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860" w:type="dxa"/>
            <w:gridSpan w:val="5"/>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说明：表中未列的补偿项目，执行市政府有关拆迁补偿规定。</w:t>
            </w:r>
          </w:p>
        </w:tc>
      </w:tr>
    </w:tbl>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lang w:eastAsia="zh-CN"/>
        </w:rPr>
        <w:t>附表五：</w:t>
      </w:r>
    </w:p>
    <w:p>
      <w:pPr>
        <w:widowControl w:val="0"/>
        <w:wordWrap/>
        <w:adjustRightInd w:val="0"/>
        <w:snapToGrid w:val="0"/>
        <w:spacing w:before="0" w:after="0" w:line="336" w:lineRule="auto"/>
        <w:ind w:right="0"/>
        <w:jc w:val="center"/>
        <w:textAlignment w:val="auto"/>
        <w:outlineLvl w:val="9"/>
        <w:rPr>
          <w:rFonts w:hint="eastAsia" w:ascii="黑体" w:hAnsi="黑体" w:eastAsia="黑体" w:cs="黑体"/>
          <w:sz w:val="32"/>
          <w:szCs w:val="32"/>
          <w:lang w:eastAsia="zh-CN"/>
        </w:rPr>
      </w:pPr>
      <w:r>
        <w:rPr>
          <w:rFonts w:ascii="Calibri" w:hAnsi="Calibri" w:eastAsia="宋体" w:cs="Arial"/>
          <w:kern w:val="2"/>
          <w:sz w:val="24"/>
          <w:szCs w:val="24"/>
          <w:lang w:val="en-US" w:eastAsia="zh-CN" w:bidi="ar-SA"/>
        </w:rPr>
        <w:pict>
          <v:line id="直线 1026" o:spid="_x0000_s1027" o:spt="20" style="position:absolute;left:0pt;margin-left:44.1pt;margin-top:26.45pt;height:109.45pt;width:68.95pt;z-index:251659264;mso-width-relative:page;mso-height-relative:page;" fillcolor="#FFFFFF" filled="f" o:preferrelative="t" stroked="t" coordsize="21600,21600">
            <v:path arrowok="t"/>
            <v:fill on="f" color2="#FFFFFF" focussize="0,0"/>
            <v:stroke weight="0.25pt" color="#000000" color2="#FFFFFF" miterlimit="2"/>
            <v:imagedata gain="65536f" blacklevel="0f" gamma="0" o:title=""/>
            <o:lock v:ext="edit" position="f" selection="f" grouping="f" rotation="f" cropping="f" text="f" aspectratio="f"/>
          </v:line>
        </w:pict>
      </w:r>
      <w:r>
        <w:rPr>
          <w:rFonts w:hint="eastAsia" w:ascii="黑体" w:hAnsi="黑体" w:eastAsia="黑体" w:cs="黑体"/>
          <w:sz w:val="32"/>
          <w:szCs w:val="32"/>
          <w:lang w:eastAsia="zh-CN"/>
        </w:rPr>
        <w:t>莆田市征用土地各类果树补偿标准</w:t>
      </w:r>
    </w:p>
    <w:tbl>
      <w:tblPr>
        <w:tblStyle w:val="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944"/>
        <w:gridCol w:w="835"/>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2340"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hint="eastAsia"/>
                <w:sz w:val="24"/>
                <w:szCs w:val="24"/>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hint="eastAsia"/>
                <w:sz w:val="24"/>
                <w:szCs w:val="24"/>
                <w:lang w:val="en-US" w:eastAsia="zh-CN"/>
              </w:rPr>
              <w:t xml:space="preserve">     单价   分类</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ascii="Calibri" w:hAnsi="Calibri" w:eastAsia="宋体" w:cs="Arial"/>
                <w:kern w:val="2"/>
                <w:sz w:val="24"/>
                <w:szCs w:val="24"/>
                <w:lang w:val="en-US" w:eastAsia="zh-CN" w:bidi="ar-SA"/>
              </w:rPr>
              <w:pict>
                <v:line id="直线 1027" o:spid="_x0000_s1028" o:spt="20" style="position:absolute;left:0pt;margin-left:-3.95pt;margin-top:0.45pt;height:69.55pt;width:113.25pt;z-index:251660288;mso-width-relative:page;mso-height-relative:page;" fillcolor="#FFFFFF" filled="f" o:preferrelative="t" stroked="t" coordsize="21600,21600">
                  <v:path arrowok="t"/>
                  <v:fill on="f" color2="#FFFFFF" focussize="0,0"/>
                  <v:stroke weight="0.25pt" color="#000000" color2="#FFFFFF" miterlimit="2"/>
                  <v:imagedata gain="65536f" blacklevel="0f" gamma="0" o:title=""/>
                  <o:lock v:ext="edit" position="f" selection="f" grouping="f" rotation="f" cropping="f" text="f" aspectratio="f"/>
                </v:line>
              </w:pict>
            </w:r>
            <w:r>
              <w:rPr>
                <w:rFonts w:hint="eastAsia"/>
                <w:sz w:val="24"/>
                <w:szCs w:val="24"/>
                <w:lang w:val="en-US" w:eastAsia="zh-CN"/>
              </w:rPr>
              <w:t xml:space="preserve">   （元/㎡）</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hint="eastAsia"/>
                <w:sz w:val="24"/>
                <w:szCs w:val="24"/>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sz w:val="24"/>
                <w:szCs w:val="24"/>
                <w:lang w:val="en-US" w:eastAsia="zh-CN"/>
              </w:rPr>
            </w:pPr>
            <w:r>
              <w:rPr>
                <w:rFonts w:hint="eastAsia"/>
                <w:sz w:val="24"/>
                <w:szCs w:val="24"/>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4"/>
                <w:szCs w:val="24"/>
                <w:lang w:eastAsia="zh-CN"/>
              </w:rPr>
            </w:pPr>
            <w:r>
              <w:rPr>
                <w:rFonts w:hint="eastAsia"/>
                <w:sz w:val="24"/>
                <w:szCs w:val="24"/>
                <w:lang w:val="en-US" w:eastAsia="zh-CN"/>
              </w:rPr>
              <w:t xml:space="preserve">  品种</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产</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果</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已产</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果</w:t>
            </w:r>
          </w:p>
        </w:tc>
        <w:tc>
          <w:tcPr>
            <w:tcW w:w="52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龙眼</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15元/株，中苗10元/株，小苗5元/株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荔枝</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15元/株，中苗10元/株，小苗5元/株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橄榄</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15元/株，中苗10元/株，小苗5元/株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枇杷</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10元/株，中苗8元/株，小苗5元/株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柑橙</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10元/株，中苗8元/株，小苗5元/株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柚</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10元/株，中苗8元/株，小苗5元/株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芒果</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红柿</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香蕉</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李、杨梅</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番石榴等其他杂果</w:t>
            </w:r>
          </w:p>
        </w:tc>
        <w:tc>
          <w:tcPr>
            <w:tcW w:w="94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3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2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大苗</w:t>
            </w:r>
            <w:r>
              <w:rPr>
                <w:rFonts w:hint="eastAsia" w:ascii="仿宋_GB2312" w:hAnsi="仿宋_GB2312" w:eastAsia="仿宋_GB2312" w:cs="仿宋_GB2312"/>
                <w:sz w:val="24"/>
                <w:szCs w:val="24"/>
                <w:lang w:val="en-US" w:eastAsia="zh-CN"/>
              </w:rPr>
              <w:t>8元/株，中苗6元/株，小苗4元/株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234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说明</w:t>
            </w:r>
          </w:p>
        </w:tc>
        <w:tc>
          <w:tcPr>
            <w:tcW w:w="7020" w:type="dxa"/>
            <w:gridSpan w:val="3"/>
            <w:vAlign w:val="center"/>
          </w:tcPr>
          <w:p>
            <w:pPr>
              <w:widowControl w:val="0"/>
              <w:numPr>
                <w:ilvl w:val="0"/>
                <w:numId w:val="1"/>
              </w:numPr>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果树补偿按冠幅垂直投影面积计算补偿；</w:t>
            </w:r>
          </w:p>
          <w:p>
            <w:pPr>
              <w:widowControl w:val="0"/>
              <w:numPr>
                <w:ilvl w:val="0"/>
                <w:numId w:val="1"/>
              </w:numPr>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未产果的冠幅在1㎡以内（含1㎡）按大苗补偿；</w:t>
            </w:r>
          </w:p>
          <w:p>
            <w:pPr>
              <w:widowControl w:val="0"/>
              <w:numPr>
                <w:ilvl w:val="0"/>
                <w:numId w:val="1"/>
              </w:numPr>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高度1米以上（含1米）为大苗，99-70厘米为中苗；70厘米（不含70厘米）以下为小苗。</w:t>
            </w:r>
          </w:p>
        </w:tc>
      </w:tr>
    </w:tbl>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474" w:bottom="1984" w:left="1587" w:header="851" w:footer="992" w:gutter="0"/>
      <w:paperSrc/>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Arial"/>
        <w:kern w:val="2"/>
        <w:sz w:val="18"/>
        <w:szCs w:val="22"/>
        <w:lang w:val="en-US" w:eastAsia="zh-CN" w:bidi="ar-SA"/>
      </w:rPr>
      <w:pict>
        <v:shape id="文本框15" o:spid="_x0000_s2049" o:spt="202" type="#_x0000_t202" style="position:absolute;left:0pt;margin-top:-26.45pt;height:44.65pt;width:42pt;mso-position-horizontal:outside;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6B57D"/>
    <w:multiLevelType w:val="singleLevel"/>
    <w:tmpl w:val="64E6B5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xNzkwMDExYWY3YzRiODcyNDY1MTVhZWI4MDBiZjYifQ=="/>
  </w:docVars>
  <w:rsids>
    <w:rsidRoot w:val="00000000"/>
    <w:rsid w:val="245B7B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6448</Words>
  <Characters>6820</Characters>
  <Lines>0</Lines>
  <Paragraphs>336</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2023-08-23T07:03:00Z</dcterms:created>
  <dc:creator>SPN-AL00</dc:creator>
  <cp:lastModifiedBy>右手</cp:lastModifiedBy>
  <cp:lastPrinted>2023-08-24T01:44:00Z</cp:lastPrinted>
  <dcterms:modified xsi:type="dcterms:W3CDTF">2023-08-26T11:58:02Z</dcterms:modified>
  <dc:title>莆城政（2007〕297号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a2021ce5183248f1b9823981d72cde0f_23</vt:lpwstr>
  </property>
  <property fmtid="{D5CDD505-2E9C-101B-9397-08002B2CF9AE}" pid="3" name="KSOProductBuildVer">
    <vt:lpwstr>2052-12.1.0.15336</vt:lpwstr>
  </property>
</Properties>
</file>