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莆城政〔2007〕236号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关于印发《城厢区洋西片区改造项目征地拆迁</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补偿安置方案实施细则》的通知</w:t>
      </w: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16" w:lineRule="auto"/>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莆田市城厢区国土资源分局：</w:t>
      </w: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《城厢区洋西片区改造项目征地拆迁补偿安置方案实施细则》已经区政府常务会议研究通过，请按该实施细则组织实施征迁工作。</w:t>
      </w: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附件：《城厢区洋西片区改造项目征地拆迁补偿安置方案实施细则》</w:t>
      </w: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72"/>
          <w:szCs w:val="72"/>
        </w:rPr>
      </w:pPr>
    </w:p>
    <w:p>
      <w:pPr>
        <w:widowControl w:val="0"/>
        <w:wordWrap w:val="0"/>
        <w:adjustRightInd w:val="0"/>
        <w:snapToGrid w:val="0"/>
        <w:spacing w:before="0" w:after="0" w:line="21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莆田市城厢区人民政府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21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二○○七年九月十七日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1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主题词：城市</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建设</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征地</w:t>
      </w:r>
    </w:p>
    <w:tbl>
      <w:tblPr>
        <w:tblW w:w="9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rPr>
          <w:jc w:val="center"/>
        </w:trPr>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抄送：莆田市国土资源局，莆田市土地储备中心；李力利副市长，</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陈万东副秘书长。</w:t>
            </w:r>
          </w:p>
        </w:tc>
      </w:tr>
    </w:tbl>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仿宋_GB2312" w:hAnsi="仿宋_GB2312" w:eastAsia="仿宋_GB2312" w:cs="仿宋_GB2312"/>
          <w:sz w:val="32"/>
          <w:szCs w:val="32"/>
          <w:lang w:val="en-US"/>
        </w:rPr>
        <w:br w:type="page"/>
      </w:r>
      <w:r>
        <w:rPr>
          <w:rFonts w:hint="eastAsia" w:ascii="方正小标宋简体" w:hAnsi="方正小标宋简体" w:eastAsia="方正小标宋简体" w:cs="方正小标宋简体"/>
          <w:sz w:val="40"/>
          <w:szCs w:val="40"/>
          <w:lang w:val="en-US"/>
        </w:rPr>
        <w:t>城厢区洋西片区改造项目征地拆迁</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rPr>
        <w:t>补偿安置方案实施细则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为维护征地拆迁当事人的合法权益，保障洋西片区改造项目建设的顺利进行，</w:t>
      </w: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lang w:val="en-US"/>
        </w:rPr>
        <w:t>据《土地管理法》等法律、法规和《莆田市各区征地拆迁补偿安置方案（暂行）》（前</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val="en-US"/>
        </w:rPr>
        <w:t>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2006]87号）的有关规定，结合洋西片区改造的实际情况，制定本实施细则。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第一条［征迁范围］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征地拆迁范围东至荔涵大道，西至片区规划道路和延寿安养中心用地，南至万辉</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lang w:val="en-US"/>
        </w:rPr>
        <w:t>际城用地，北至规划九华学校用地，具体范围以省政府闽政地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2007]134号文批准的征地范围为准。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第二条［征迁当事人］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城厢区人民政府负责组织实施该项目的征地拆迁安置工作，为征迁人。被征地拆迁的单位和个人为被征迁人。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第三条［补偿项目］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1、实行货币补偿方式的，补偿项目包括：房屋及附属物补偿、搬迁补助费、作价补助金、其他补助费。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2、实行套房产权调换方式的，补偿项目包括：房屋及附属物补偿、搬迁补助费、临时安置补助费、其他补助费。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第四条［房屋及附属物补偿］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1、房屋补偿费按重置价结合成新计算，重置价标准为（元／m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bl>
      <w:tblP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0"/>
        <w:gridCol w:w="1510"/>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重置价</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框架</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600</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石混</w:t>
            </w: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5" w:hRule="atLeast"/>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1511"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砖混</w:t>
            </w: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砖土</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土木</w:t>
            </w: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1"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1"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330</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c>
          <w:tcPr>
            <w:tcW w:w="7551" w:type="dxa"/>
            <w:gridSpan w:val="5"/>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1、房屋等级按附件1的规定执行；</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2、凡被拆迁房屋的主屋为一层平房的，按建筑面积另加100元／m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给予补偿。</w:t>
            </w:r>
          </w:p>
        </w:tc>
      </w:tr>
    </w:tbl>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2、征迁其他地上构筑物的补偿费按附件5、6相应标准执行。</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3、畜舍、禽舍等临时简易搭盖物按建筑面积5-20元／m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予以补偿，但不予安置；室外厕所、杂物间等附属物按建筑面积30-70元／m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予以补偿，但不予安置。有合法用地手续的，其占用的土地按70元／m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4、有合法用地手续的埕空地（含滴水地），按70元／m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5、违章建筑原则上不予补偿安置，但结合本地实际情况，对按时签约并搬迁的，可按地上建筑物每平方米给予30-50元／m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材料费补贴，但不予安置。</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第五条［搬迁补助费］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搬迁补助费按被征迁房屋的建筑面积计算，标准为：住宅、仓储、办公用房每平方米3元／次，生产经营用房每平方米4元／次。实行货币补偿的按一次计算，实行套房产权调换的，按往返两次计算。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第六条［临时安置补助费］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1、临时过渡方式：采取被征迁人投亲靠友或借房、租房自行过渡的办法。</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2、临时过渡期限：自旧房交付之日起至安置房结算之日止，暂定36个月。过渡期限按实计算，不足一个月的按一个月计算。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3、临时安置补助费标准：实行套房产权调换的，征迁人在临时过渡期限内按被征迁房屋的建筑面积每月每平方米4元支付临时安置补助费，逾期安置的，按双倍标准支付。</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4、实行货币补偿的，不再支付临时安置补助费。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第七条［其他项目补助费］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1、电话移机费：按电信局现行标准58元／部·次计，实行货币补偿的按一次计算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实行产权调换的按两次计算。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2、有线电视移机费：按200元／户·次计（以有线电视收视证为凭），实行货币补偿的按一次计算，实行产权调换的按两次计算。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第八条［货币补偿方式］</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1、货币补偿的适用对象：有合法产权且无纠纷的被征迁房屋。</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2、实行货币补偿的，被征迁人按照第四条规定的标准领取征迁补偿款外，由征迁人另行按照建筑面积发给作价补助金200元／m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第九条［套房产权调换方式］</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1、安置房的位置：选择套房产权调换安置的，安置房位于洋西片区改造范围内，具体位置详见安置示意图（户型结构及面积等应以最后批准的建筑方案为准）。</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2、安置房建设标准：钢筋混凝土框架或框剪结构，工程质量以验收合格为准。</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lang w:val="en-US"/>
        </w:rPr>
        <w:t>层建筑配置电梯，外墙装修以规划设计为准，内墙面和天棚沫白灰，楼面为钢筋混凝</w:t>
      </w:r>
      <w:r>
        <w:rPr>
          <w:rFonts w:hint="eastAsia" w:ascii="仿宋_GB2312" w:hAnsi="仿宋_GB2312" w:eastAsia="仿宋_GB2312" w:cs="仿宋_GB2312"/>
          <w:sz w:val="32"/>
          <w:szCs w:val="32"/>
          <w:lang w:val="en-US" w:eastAsia="zh-CN"/>
        </w:rPr>
        <w:t>土</w:t>
      </w:r>
      <w:r>
        <w:rPr>
          <w:rFonts w:hint="eastAsia" w:ascii="仿宋_GB2312" w:hAnsi="仿宋_GB2312" w:eastAsia="仿宋_GB2312" w:cs="仿宋_GB2312"/>
          <w:sz w:val="32"/>
          <w:szCs w:val="32"/>
          <w:lang w:val="en-US"/>
        </w:rPr>
        <w:t>楼板，安装木门，外墙铝合金或塑钢窗；厨房卫生间各配一水龙头，客厅、房屋各配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rPr>
        <w:t>灯、一开关。安置房自来水、用电原已办理立户手续的，由征迁人予以重新办理立户</w:t>
      </w:r>
      <w:r>
        <w:rPr>
          <w:rFonts w:hint="eastAsia" w:ascii="仿宋_GB2312" w:hAnsi="仿宋_GB2312" w:eastAsia="仿宋_GB2312" w:cs="仿宋_GB2312"/>
          <w:sz w:val="32"/>
          <w:szCs w:val="32"/>
          <w:lang w:val="en-US" w:eastAsia="zh-CN"/>
        </w:rPr>
        <w:t>手</w:t>
      </w:r>
      <w:r>
        <w:rPr>
          <w:rFonts w:hint="eastAsia" w:ascii="仿宋_GB2312" w:hAnsi="仿宋_GB2312" w:eastAsia="仿宋_GB2312" w:cs="仿宋_GB2312"/>
          <w:sz w:val="32"/>
          <w:szCs w:val="32"/>
          <w:lang w:val="en-US"/>
        </w:rPr>
        <w:t>续，但水电增容部分的费用</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rPr>
        <w:t>被征迁人另行承担：原房没有办理水电立户手续的，办</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lang w:val="en-US"/>
        </w:rPr>
        <w:t>立户手续及其费用</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rPr>
        <w:t>被征迁人自行负责。</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3、选房规则：根据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拆一还一、差价互补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的原则，选房时应靠最接近于</w:t>
      </w:r>
      <w:r>
        <w:rPr>
          <w:rFonts w:hint="eastAsia" w:ascii="仿宋_GB2312" w:hAnsi="仿宋_GB2312" w:eastAsia="仿宋_GB2312" w:cs="仿宋_GB2312"/>
          <w:sz w:val="32"/>
          <w:szCs w:val="32"/>
          <w:lang w:val="en-US" w:eastAsia="zh-CN"/>
        </w:rPr>
        <w:t>旧</w:t>
      </w:r>
      <w:r>
        <w:rPr>
          <w:rFonts w:hint="eastAsia" w:ascii="仿宋_GB2312" w:hAnsi="仿宋_GB2312" w:eastAsia="仿宋_GB2312" w:cs="仿宋_GB2312"/>
          <w:sz w:val="32"/>
          <w:szCs w:val="32"/>
          <w:lang w:val="en-US"/>
        </w:rPr>
        <w:t>房</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lang w:val="en-US"/>
        </w:rPr>
        <w:t>筑面积的套型选择安置房，即安置房总建筑面积应最接近于旧房总建筑面积。对按时</w:t>
      </w:r>
      <w:r>
        <w:rPr>
          <w:rFonts w:hint="eastAsia" w:ascii="仿宋_GB2312" w:hAnsi="仿宋_GB2312" w:eastAsia="仿宋_GB2312" w:cs="仿宋_GB2312"/>
          <w:sz w:val="32"/>
          <w:szCs w:val="32"/>
          <w:lang w:val="en-US" w:eastAsia="zh-CN"/>
        </w:rPr>
        <w:t>丈</w:t>
      </w:r>
      <w:r>
        <w:rPr>
          <w:rFonts w:hint="eastAsia" w:ascii="仿宋_GB2312" w:hAnsi="仿宋_GB2312" w:eastAsia="仿宋_GB2312" w:cs="仿宋_GB2312"/>
          <w:sz w:val="32"/>
          <w:szCs w:val="32"/>
          <w:lang w:val="en-US"/>
        </w:rPr>
        <w:t>量评估及签约的，在选房时，其安置房超面积部分的面积可以在旧房建筑占地面积的30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以内（最多不超过30m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)。旧房建筑面积少于30m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（含30m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）的，不予安置，只实行货币补偿。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4、安置房计价标准（单位：元／m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bl>
      <w:tblPr>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65"/>
        <w:gridCol w:w="2478"/>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26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套房所</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在层次</w:t>
            </w:r>
          </w:p>
        </w:tc>
        <w:tc>
          <w:tcPr>
            <w:tcW w:w="247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与旧房建筑面积</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相等的部分</w:t>
            </w:r>
          </w:p>
        </w:tc>
        <w:tc>
          <w:tcPr>
            <w:tcW w:w="4531"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超过旧房建筑面积的部分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265"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247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超面积≤15m</w:t>
            </w:r>
            <w:r>
              <w:rPr>
                <w:rFonts w:hint="eastAsia" w:ascii="仿宋_GB2312" w:hAnsi="仿宋_GB2312" w:eastAsia="仿宋_GB2312" w:cs="仿宋_GB2312"/>
                <w:sz w:val="32"/>
                <w:szCs w:val="32"/>
                <w:vertAlign w:val="superscript"/>
                <w:lang w:val="en-US"/>
              </w:rPr>
              <w:t>2</w:t>
            </w:r>
          </w:p>
        </w:tc>
        <w:tc>
          <w:tcPr>
            <w:tcW w:w="2266"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15m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＜超面积≤30m</w:t>
            </w:r>
            <w:r>
              <w:rPr>
                <w:rFonts w:hint="eastAsia" w:ascii="仿宋_GB2312" w:hAnsi="仿宋_GB2312" w:eastAsia="仿宋_GB2312" w:cs="仿宋_GB2312"/>
                <w:sz w:val="32"/>
                <w:szCs w:val="32"/>
                <w:vertAlign w:val="superscript"/>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1-6层</w:t>
            </w:r>
          </w:p>
        </w:tc>
        <w:tc>
          <w:tcPr>
            <w:tcW w:w="2478"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600</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780</w:t>
            </w:r>
          </w:p>
        </w:tc>
        <w:tc>
          <w:tcPr>
            <w:tcW w:w="226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7层</w:t>
            </w:r>
          </w:p>
        </w:tc>
        <w:tc>
          <w:tcPr>
            <w:tcW w:w="2478"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650</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830</w:t>
            </w:r>
          </w:p>
        </w:tc>
        <w:tc>
          <w:tcPr>
            <w:tcW w:w="226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7层以上</w:t>
            </w:r>
          </w:p>
        </w:tc>
        <w:tc>
          <w:tcPr>
            <w:tcW w:w="7009" w:type="dxa"/>
            <w:gridSpan w:val="3"/>
            <w:textDirection w:val="lrTb"/>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各档价格均以第七层为基数，每层递增25元／m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26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备注</w:t>
            </w:r>
          </w:p>
        </w:tc>
        <w:tc>
          <w:tcPr>
            <w:tcW w:w="7009" w:type="dxa"/>
            <w:gridSpan w:val="3"/>
            <w:textDirection w:val="lrTb"/>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个别因结构原因造成安置超面积部分＞30m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的，则超面积＞30m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部分的价格为：1-6层单价2500元／m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，自第七层起，以第六层为基数，每层递增25元／m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r>
    </w:tbl>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5、签约选房顺序：按照丈量评估得分的高低顺序依次进行签约，先签约的先选择安置房；得分相同的，抽签确定签约的先后顺序。</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6、丈量评估评分办法：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(1)、凡在通知丈量评估之日起，第一天丈量评估的得分50分，以后每推迟一天丈量评估的扣5分／天，没有零分界限。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为确保丈量评估的公开、公平，对丈量评估实行申报制度，即拟丈量的被征迁人可直接向征迁人或征迁工作人员申报登记丈量评估，申报日期即视为丈量日期并确定其丈量得分。如虽有申报登记，但在征迁工作人员入户丈量评估时拒绝丈量评估的，则申报日期无效，以实际丈量日期确定其丈量得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7、物业管理费：安置房物业管理费给予适当补贴，第一年100％补贴，之后逐年按10％递减，期限十年。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第十条［商业及附属用房］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1、凡在征迁人通知的签约期限内按时签约的，可按本条规定给予安置商业用房及附属用房。所安置的商业及附属用房建筑面积应当先以旧房建筑面积相折抵，折抵后剩余的旧房建筑面积用于安置套房。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2、被征迁人选择安置商业用房的，商业用房的安置面积不超过旧房建筑占地面积的30%，商业用房数量有限，安置完为止。商业用房的安置价分为四个类别：</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rPr>
        <w:t>类2200元／m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、二类2000元／m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、三类1500元／m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、四类1000元／m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。各个类别商业用房的具体位置详见安置示意图。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3、旧房建筑占地面积（含被征迁人自由组合后的总建筑占地面积）在180m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以上的，可选择一类的商业用房一间；旧房建筑占地面积不足180m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的，只能选择二类，三类或四类的商业用房。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4、每户可选择安置附属用房（储藏间）一间，安置价为600元／m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第十一条［奖惩措施］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1、丈量评估奖励：凡在征迁人公布的丈量评估期限内按时配合完成丈量评估的，在签约时按旧房建筑面积奖励50元／m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2、签约奖励：凡在征迁人通知签约之日起一天签约的，按旧房建筑面积奖励100/m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，第二天签约的奖励50元／m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；超过规定期限签约的，不予奖励。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3、对按时丈量评估、签约及交房的，每户给予补贴燃气管道立户费3000元</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4、上述各阶段的具体日期以征迁人通知的时间为准。未按时丈量、签约的，一概不予奖励。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5、被征迁人应在规定的期限内按时交房，未按时交房的，取消全部奖励，且不予享受超面积部分的价格优惠，增加安置的面积一律按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超面积＞30m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部分的单价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计取</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第十二条［结算办法］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1、选择货币补偿方式的，在达成协议并办理交房手续后五日内，由征迁</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rPr>
        <w:t>支付给被征迁人拆迁补偿款90%，余款10％在被征迁人办理水电销户手续后付清。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2、选择产权调换方式的，旧房征迁补偿款与安置房价款对抵后，剩余款项在签约并办理交房手续后五日内由征迁人支付给被征迁人；不足款项（差价款）由被征迁人按安置房建设进度支付给拆迁人，即：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(1)、安置房基础工程开工时，付差价款的25%;</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(2)、安置房主体工程6层楼面砼施工时，付差价款的50%;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(3)、安置房主体封项时，付差价款的20%;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(4)、安置房竣工验收合格交付使用前，按实结算，付清余款。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第十三条［产权证件］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1、被征迁房屋的原土地使用证、房屋所有权证在签订房屋拆迁补偿安置协议时</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lang w:val="en-US"/>
        </w:rPr>
        <w:t>一收回交相关部门注销。</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2、安置区新建房屋的土地使用证、房屋所有权证由征迁人负责统一申报办理，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面积同功能部分免收办证费用，超过面积部分的税费由被征迁人承担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被征迁房屋没</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en-US"/>
        </w:rPr>
        <w:t>土地使用证或房屋所有权证的，办证税费由被征迁人自行承担。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第十四条［集体保障措施］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1、村集体生产生活的保障用房按照莆田市人民政府莆政综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2007]155号文件的规</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lang w:val="en-US"/>
        </w:rPr>
        <w:t>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2、安置房地下人防工程产权归区政府所有，委托村委会统一经营管理。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第十五条［其他事项］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1、本实施细则的解释权归征迁人所有。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2、本实施细则自公布之日起实施。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附件：1、房屋重置价格表：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3、房屋成新程度评定标准表；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4、房屋耐用年限；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5、征迁地上构筑物补偿单价；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6、征收其他地上附着物补偿标准。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莆田市城厢区人民政府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七年九月十二日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rPr>
        <w:br w:type="page"/>
      </w:r>
      <w:r>
        <w:rPr>
          <w:rFonts w:hint="eastAsia" w:ascii="仿宋_GB2312" w:hAnsi="仿宋_GB2312" w:eastAsia="仿宋_GB2312" w:cs="仿宋_GB2312"/>
          <w:b w:val="0"/>
          <w:bCs w:val="0"/>
          <w:sz w:val="32"/>
          <w:szCs w:val="32"/>
          <w:lang w:val="en-US"/>
        </w:rPr>
        <w:t>附件1:</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房屋重置价格表</w:t>
      </w:r>
    </w:p>
    <w:tbl>
      <w:tblPr>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2"/>
        <w:gridCol w:w="525"/>
        <w:gridCol w:w="4830"/>
        <w:gridCol w:w="1191"/>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种类</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等级</w:t>
            </w:r>
          </w:p>
        </w:tc>
        <w:tc>
          <w:tcPr>
            <w:tcW w:w="4830"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房屋特征</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重置价</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（元</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lang w:eastAsia="zh-CN"/>
              </w:rPr>
              <w:t>）</w:t>
            </w:r>
          </w:p>
        </w:tc>
        <w:tc>
          <w:tcPr>
            <w:tcW w:w="1813"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31" w:hRule="atLeast"/>
        </w:trPr>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砖墙18cm以上，层高2.8m以上，钢筋砼柱梁板基础承重，屋面隔热层，外墙面砖，内墙、天棚面水泥漆，局部天棚有吊顶，楼地面贴石板材，部分构件、内墙面贵重材料装修铝合金门窗、部分木门、水、电齐全。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600</w:t>
            </w:r>
          </w:p>
        </w:tc>
        <w:tc>
          <w:tcPr>
            <w:tcW w:w="181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砖墙18cm以上，层高2.8m以上，钢筋砼柱梁板基础承重，屋面隔热层，外墙面砖，内墙、天棚面中级抹灰（或涂料抹面），楼地面贴面砖，铝合金门窗、部分木门、水、电齐全。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540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梁板、砖墙承重，屋面隔热层，外墙面砖，内墙、天棚面水泥漆，局部天棚有吊顶，楼地面石板材料，部分构件、内墙面贵重材料装修，</w:t>
            </w:r>
            <w:r>
              <w:rPr>
                <w:rFonts w:hint="eastAsia" w:ascii="仿宋_GB2312" w:hAnsi="仿宋_GB2312" w:eastAsia="仿宋_GB2312" w:cs="仿宋_GB2312"/>
                <w:sz w:val="24"/>
                <w:szCs w:val="24"/>
                <w:lang w:val="en-US" w:eastAsia="zh-CN"/>
              </w:rPr>
              <w:t>贴面砖，</w:t>
            </w:r>
            <w:r>
              <w:rPr>
                <w:rFonts w:hint="eastAsia" w:ascii="仿宋_GB2312" w:hAnsi="仿宋_GB2312" w:eastAsia="仿宋_GB2312" w:cs="仿宋_GB2312"/>
                <w:sz w:val="24"/>
                <w:szCs w:val="24"/>
                <w:lang w:val="en-US"/>
              </w:rPr>
              <w:t>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500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砖墙18cm以上，层高2.8m以上，钢筋砼基础梁板、砖墙承重，外墙面砖，内墙、天棚面中级抹灰（或涂料抹面），楼地面贴面砖，铝合金门窗、部分木门、水、电齐全。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450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58" w:hRule="atLeast"/>
        </w:trPr>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砖墙18cm以上，层高2.8m以上，钢筋砼基础梁板、砖墙承重，楼地面，无内外装修，普通照明敷管穿线。</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380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2.8m以上，石楼板，外墙面贴面砖（或水磨、二凿以上加工），内墙面水泥漆，天棚吊顶，楼地面贴石板材，部分构件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内墙面贵重材料装修，铝合金窗、木门、水、电齐全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500</w:t>
            </w:r>
          </w:p>
        </w:tc>
        <w:tc>
          <w:tcPr>
            <w:tcW w:w="181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2.8m以上，石楼板（或木楼板），石板（或木瓦）屋盖，石墙面粗打（</w:t>
            </w:r>
            <w:bookmarkStart w:id="0" w:name="_GoBack"/>
            <w:bookmarkEnd w:id="0"/>
            <w:r>
              <w:rPr>
                <w:rFonts w:hint="eastAsia" w:ascii="仿宋_GB2312" w:hAnsi="仿宋_GB2312" w:eastAsia="仿宋_GB2312" w:cs="仿宋_GB2312"/>
                <w:sz w:val="24"/>
                <w:szCs w:val="24"/>
                <w:lang w:val="en-US"/>
              </w:rPr>
              <w:t>或一凿）加工，内墙、天棚面中级抹灰，楼地面贴面砖，普通木门窗、水、电齐全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450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毛石墙，层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2.8m以上，木瓦屋盖，石墙面</w:t>
            </w:r>
            <w:r>
              <w:rPr>
                <w:rFonts w:hint="eastAsia" w:ascii="仿宋_GB2312" w:hAnsi="仿宋_GB2312" w:eastAsia="仿宋_GB2312" w:cs="仿宋_GB2312"/>
                <w:sz w:val="24"/>
                <w:szCs w:val="24"/>
                <w:lang w:val="en-US" w:eastAsia="zh-CN"/>
              </w:rPr>
              <w:t>粗</w:t>
            </w:r>
            <w:r>
              <w:rPr>
                <w:rFonts w:hint="eastAsia" w:ascii="仿宋_GB2312" w:hAnsi="仿宋_GB2312" w:eastAsia="仿宋_GB2312" w:cs="仿宋_GB2312"/>
                <w:sz w:val="24"/>
                <w:szCs w:val="24"/>
                <w:lang w:val="en-US"/>
              </w:rPr>
              <w:t>打加工，内装修普通，木门窗，简易照明。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420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砖墙24cm以上，层高3.2m以上（</w:t>
            </w:r>
            <w:r>
              <w:rPr>
                <w:rFonts w:hint="eastAsia" w:ascii="仿宋_GB2312" w:hAnsi="仿宋_GB2312" w:eastAsia="仿宋_GB2312" w:cs="仿宋_GB2312"/>
                <w:sz w:val="24"/>
                <w:szCs w:val="24"/>
                <w:lang w:val="en-US" w:eastAsia="zh-CN"/>
              </w:rPr>
              <w:t>旧</w:t>
            </w:r>
            <w:r>
              <w:rPr>
                <w:rFonts w:hint="eastAsia" w:ascii="仿宋_GB2312" w:hAnsi="仿宋_GB2312" w:eastAsia="仿宋_GB2312" w:cs="仿宋_GB2312"/>
                <w:sz w:val="24"/>
                <w:szCs w:val="24"/>
                <w:lang w:val="en-US"/>
              </w:rPr>
              <w:t>式大厝），地面铺砖，木瓦屋盖，清水砖墙，上等木门窗，石构件。</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420</w:t>
            </w:r>
          </w:p>
        </w:tc>
        <w:tc>
          <w:tcPr>
            <w:tcW w:w="1813" w:type="dxa"/>
            <w:vMerge w:val="restart"/>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砖墙（土丕墙）24cm以上，地面铺砖，木瓦屋面，木门窗，木柱，木隔墙，简易照明。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380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砖墙（土丕墙）24cm以上，三合土地面，木瓦屋</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lang w:val="en-US"/>
              </w:rPr>
              <w:t>，木门窗，简易照明。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330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2：（略）</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房屋成新程度程度评定</w:t>
      </w:r>
      <w:r>
        <w:rPr>
          <w:rFonts w:hint="eastAsia" w:ascii="黑体" w:hAnsi="黑体" w:eastAsia="黑体" w:cs="黑体"/>
          <w:sz w:val="32"/>
          <w:szCs w:val="32"/>
          <w:lang w:val="en-US" w:eastAsia="zh-CN"/>
        </w:rPr>
        <w:t>标准表</w:t>
      </w:r>
    </w:p>
    <w:tbl>
      <w:tblPr>
        <w:tblW w:w="99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7"/>
        <w:gridCol w:w="2782"/>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质量等级</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成新程度</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十、九、八成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全面完好评十成，接近基本完好评八成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基本完好房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八、七、六成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五、四成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接近基本完好评五成，</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接近严重损坏房评四成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严重损坏房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三成以下</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房屋耐用年限</w:t>
      </w:r>
    </w:p>
    <w:tbl>
      <w:tblPr>
        <w:tblW w:w="99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56"/>
        <w:gridCol w:w="2842"/>
        <w:gridCol w:w="2774"/>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房屋结构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耐用年限</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框架结构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60～80年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2个等级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土木结构</w:t>
            </w:r>
          </w:p>
        </w:tc>
        <w:tc>
          <w:tcPr>
            <w:tcW w:w="277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木结构</w:t>
            </w:r>
          </w:p>
        </w:tc>
        <w:tc>
          <w:tcPr>
            <w:tcW w:w="2774"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1"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简易结构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油毡、波纹瓦屋面</w:t>
            </w:r>
          </w:p>
        </w:tc>
      </w:tr>
    </w:tbl>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说明：房屋成新与建筑质量、使用年限、平时维修等有关。能住人的房屋成新评估不得低于五成。</w:t>
      </w: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征迁地上构筑物补偿单价</w:t>
      </w:r>
    </w:p>
    <w:tbl>
      <w:tblPr>
        <w:tblW w:w="9900"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9"/>
        <w:gridCol w:w="2132"/>
        <w:gridCol w:w="1245"/>
        <w:gridCol w:w="1389"/>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1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w:t>
            </w:r>
          </w:p>
        </w:tc>
        <w:tc>
          <w:tcPr>
            <w:tcW w:w="438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1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  拆</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  拆</w:t>
            </w:r>
          </w:p>
        </w:tc>
        <w:tc>
          <w:tcPr>
            <w:tcW w:w="4385" w:type="dxa"/>
            <w:vMerge w:val="continue"/>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夯土围墙</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毛石基础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4"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砖围墙</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条石或毛石基盛础，24墙取上限，18墙下限.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石砌围墙</w:t>
            </w:r>
          </w:p>
        </w:tc>
        <w:tc>
          <w:tcPr>
            <w:tcW w:w="124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4"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水泥埕</w:t>
            </w:r>
          </w:p>
        </w:tc>
        <w:tc>
          <w:tcPr>
            <w:tcW w:w="1245"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沙石基础取上限，沙基础取下限。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砖埕</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石埕</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露天洗衣台</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露天厕所</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125元/坑</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石砖水井</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435元/口</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vMerge w:val="restart"/>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1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家用柴煤灶</w:t>
            </w:r>
          </w:p>
        </w:tc>
        <w:tc>
          <w:tcPr>
            <w:tcW w:w="2634" w:type="dxa"/>
            <w:gridSpan w:val="2"/>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单口60元/个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双口100元/个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vMerge w:val="continue"/>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1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634" w:type="dxa"/>
            <w:gridSpan w:val="2"/>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厨房水池</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瓷砖贴墙面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水磨石地面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瓷缸砖地面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水泥砖地面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胶合板吊顶</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5"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石棉、钙塑板吊顶</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电话移机费</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6"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有线电视移动费</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bl>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附件6：</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征收其他地上附着物补偿标准</w:t>
      </w:r>
    </w:p>
    <w:tbl>
      <w:tblPr>
        <w:tblW w:w="9860"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77"/>
        <w:gridCol w:w="1691"/>
        <w:gridCol w:w="1541"/>
        <w:gridCol w:w="171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结构规格</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单价（元）</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textDirection w:val="lrTb"/>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涵洞</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石材浆砌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田间石井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田间砖井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水泥井壁</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庭院水井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2"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石大井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（石方）</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直径大于3米的单价减半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砖石粪池</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坟墓</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砖、石构建</w:t>
            </w:r>
          </w:p>
        </w:tc>
        <w:tc>
          <w:tcPr>
            <w:tcW w:w="1541"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钵装的每具100元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土堆</w:t>
            </w:r>
          </w:p>
        </w:tc>
        <w:tc>
          <w:tcPr>
            <w:tcW w:w="1541"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32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8" w:hRule="atLeast"/>
        </w:trPr>
        <w:tc>
          <w:tcPr>
            <w:tcW w:w="9860" w:type="dxa"/>
            <w:gridSpan w:val="5"/>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说明：表中未列的补偿项目，执行市政府有关拆迁补偿规定。</w:t>
            </w:r>
          </w:p>
        </w:tc>
      </w:tr>
    </w:tbl>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23.4pt;height:41.6pt;width:42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4970</Words>
  <Characters>5309</Characters>
  <Lines>0</Lines>
  <Paragraphs>360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2023-08-23T06:01:00Z</dcterms:created>
  <dc:creator>SPN-AL00</dc:creator>
  <cp:lastModifiedBy>lenovo</cp:lastModifiedBy>
  <cp:lastPrinted>2023-08-24T01:10:00Z</cp:lastPrinted>
  <dcterms:modified xsi:type="dcterms:W3CDTF">2023-08-25T09:24:21Z</dcterms:modified>
  <dc:title>莆城政〔2007〕236号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a853589082154fba99725ae16d4ce78a_21</vt:lpwstr>
  </property>
  <property fmtid="{D5CDD505-2E9C-101B-9397-08002B2CF9AE}" pid="3" name="KSOProductBuildVer">
    <vt:lpwstr>2052-9.1.0.4472</vt:lpwstr>
  </property>
</Properties>
</file>