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应急预案编号：</w:t>
      </w:r>
    </w:p>
    <w:p>
      <w:pPr>
        <w:adjustRightInd w:val="0"/>
        <w:snapToGrid w:val="0"/>
        <w:spacing w:line="600" w:lineRule="exact"/>
        <w:jc w:val="left"/>
        <w:rPr>
          <w:rFonts w:ascii="黑体" w:hAnsi="黑体" w:eastAsia="黑体" w:cs="黑体"/>
          <w:b/>
          <w:bCs/>
          <w:color w:val="000000" w:themeColor="text1"/>
          <w:sz w:val="32"/>
          <w:szCs w:val="32"/>
          <w14:textFill>
            <w14:solidFill>
              <w14:schemeClr w14:val="tx1"/>
            </w14:solidFill>
          </w14:textFill>
        </w:rPr>
      </w:pPr>
    </w:p>
    <w:p>
      <w:pPr>
        <w:widowControl/>
        <w:jc w:val="left"/>
        <w:rPr>
          <w:color w:val="000000" w:themeColor="text1"/>
          <w14:textFill>
            <w14:solidFill>
              <w14:schemeClr w14:val="tx1"/>
            </w14:solidFill>
          </w14:textFill>
        </w:rPr>
      </w:pPr>
    </w:p>
    <w:p>
      <w:pPr>
        <w:pStyle w:val="91"/>
        <w:spacing w:before="190"/>
        <w:rPr>
          <w:b/>
          <w:bCs/>
          <w:color w:val="000000" w:themeColor="text1"/>
          <w14:textFill>
            <w14:solidFill>
              <w14:schemeClr w14:val="tx1"/>
            </w14:solidFill>
          </w14:textFill>
        </w:rPr>
      </w:pPr>
      <w:bookmarkStart w:id="0" w:name="_Toc528057080"/>
      <w:bookmarkStart w:id="1" w:name="_Toc4498"/>
      <w:bookmarkStart w:id="2" w:name="_Toc523223336"/>
      <w:bookmarkStart w:id="3" w:name="_Toc24728"/>
      <w:bookmarkStart w:id="4" w:name="_Toc529453247"/>
      <w:bookmarkStart w:id="5" w:name="_Toc523223876"/>
      <w:bookmarkStart w:id="6" w:name="_Toc527026523"/>
      <w:bookmarkStart w:id="7" w:name="_Toc529453093"/>
      <w:bookmarkStart w:id="8" w:name="_Toc523220063"/>
      <w:bookmarkStart w:id="9" w:name="_Toc17170"/>
      <w:bookmarkStart w:id="10" w:name="_Toc16412"/>
      <w:bookmarkStart w:id="11" w:name="_Toc523219288"/>
      <w:bookmarkStart w:id="12" w:name="_Toc528234230"/>
      <w:bookmarkStart w:id="13" w:name="_Toc523219577"/>
      <w:bookmarkStart w:id="14" w:name="_Toc17443"/>
      <w:bookmarkStart w:id="15" w:name="_Hlk523140595"/>
      <w:r>
        <w:rPr>
          <w:rFonts w:hint="eastAsia" w:cs="黑体"/>
          <w:b/>
          <w:bCs/>
          <w:color w:val="000000" w:themeColor="text1"/>
          <w14:textFill>
            <w14:solidFill>
              <w14:schemeClr w14:val="tx1"/>
            </w14:solidFill>
          </w14:textFill>
        </w:rPr>
        <w:t>城厢区集中式地表水饮用水水源地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91"/>
        <w:spacing w:before="190"/>
        <w:rPr>
          <w:b/>
          <w:bCs/>
          <w:color w:val="000000" w:themeColor="text1"/>
          <w14:textFill>
            <w14:solidFill>
              <w14:schemeClr w14:val="tx1"/>
            </w14:solidFill>
          </w14:textFill>
        </w:rPr>
      </w:pPr>
      <w:bookmarkStart w:id="16" w:name="_Toc13282"/>
      <w:bookmarkStart w:id="17" w:name="_Toc523223877"/>
      <w:bookmarkStart w:id="18" w:name="_Toc30008"/>
      <w:bookmarkStart w:id="19" w:name="_Toc523219289"/>
      <w:bookmarkStart w:id="20" w:name="_Toc528057081"/>
      <w:bookmarkStart w:id="21" w:name="_Toc10168"/>
      <w:bookmarkStart w:id="22" w:name="_Toc523220064"/>
      <w:bookmarkStart w:id="23" w:name="_Toc523223337"/>
      <w:bookmarkStart w:id="24" w:name="_Toc523219578"/>
      <w:bookmarkStart w:id="25" w:name="_Toc22441"/>
      <w:bookmarkStart w:id="26" w:name="_Toc529453094"/>
      <w:bookmarkStart w:id="27" w:name="_Toc528234231"/>
      <w:bookmarkStart w:id="28" w:name="_Toc527026524"/>
      <w:bookmarkStart w:id="29" w:name="_Toc21763"/>
      <w:bookmarkStart w:id="30" w:name="_Toc529453248"/>
      <w:r>
        <w:rPr>
          <w:rFonts w:hint="eastAsia" w:cs="黑体"/>
          <w:b/>
          <w:bCs/>
          <w:color w:val="000000" w:themeColor="text1"/>
          <w14:textFill>
            <w14:solidFill>
              <w14:schemeClr w14:val="tx1"/>
            </w14:solidFill>
          </w14:textFill>
        </w:rPr>
        <w:t>突发环境事件应急预案</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91"/>
        <w:spacing w:before="190"/>
        <w:rPr>
          <w:color w:val="000000" w:themeColor="text1"/>
          <w14:textFill>
            <w14:solidFill>
              <w14:schemeClr w14:val="tx1"/>
            </w14:solidFill>
          </w14:textFill>
        </w:rPr>
      </w:pPr>
      <w:bookmarkStart w:id="31" w:name="_Toc9423"/>
      <w:bookmarkStart w:id="32" w:name="_Toc24003"/>
      <w:bookmarkStart w:id="33" w:name="_Toc528234232"/>
      <w:bookmarkStart w:id="34" w:name="_Toc527026525"/>
      <w:bookmarkStart w:id="35" w:name="_Toc528057082"/>
      <w:bookmarkStart w:id="36" w:name="_Toc2683"/>
      <w:bookmarkStart w:id="37" w:name="_Toc22821"/>
      <w:bookmarkStart w:id="38" w:name="_Toc529453249"/>
      <w:bookmarkStart w:id="39" w:name="_Toc23876"/>
      <w:bookmarkStart w:id="40" w:name="_Toc529453095"/>
      <w:r>
        <w:rPr>
          <w:rFonts w:hint="eastAsia" w:cs="黑体"/>
          <w:color w:val="000000" w:themeColor="text1"/>
          <w14:textFill>
            <w14:solidFill>
              <w14:schemeClr w14:val="tx1"/>
            </w14:solidFill>
          </w14:textFill>
        </w:rPr>
        <w:t>（</w:t>
      </w:r>
      <w:r>
        <w:rPr>
          <w:color w:val="000000" w:themeColor="text1"/>
          <w14:textFill>
            <w14:solidFill>
              <w14:schemeClr w14:val="tx1"/>
            </w14:solidFill>
          </w14:textFill>
        </w:rPr>
        <w:t>2019</w:t>
      </w:r>
      <w:r>
        <w:rPr>
          <w:rFonts w:hint="eastAsia" w:cs="黑体"/>
          <w:color w:val="000000" w:themeColor="text1"/>
          <w14:textFill>
            <w14:solidFill>
              <w14:schemeClr w14:val="tx1"/>
            </w14:solidFill>
          </w14:textFill>
        </w:rPr>
        <w:t>年修订）</w:t>
      </w:r>
      <w:bookmarkEnd w:id="31"/>
      <w:bookmarkEnd w:id="32"/>
      <w:bookmarkEnd w:id="33"/>
      <w:bookmarkEnd w:id="34"/>
      <w:bookmarkEnd w:id="35"/>
      <w:bookmarkEnd w:id="36"/>
      <w:bookmarkEnd w:id="37"/>
      <w:bookmarkEnd w:id="38"/>
      <w:bookmarkEnd w:id="39"/>
      <w:bookmarkEnd w:id="40"/>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rFonts w:ascii="宋体"/>
          <w:color w:val="000000" w:themeColor="text1"/>
          <w14:textFill>
            <w14:solidFill>
              <w14:schemeClr w14:val="tx1"/>
            </w14:solidFill>
          </w14:textFill>
        </w:rPr>
      </w:pPr>
    </w:p>
    <w:p>
      <w:pPr>
        <w:pStyle w:val="77"/>
        <w:ind w:firstLine="1200" w:firstLineChars="400"/>
        <w:rPr>
          <w:rFonts w:ascii="宋体"/>
          <w:color w:val="000000" w:themeColor="text1"/>
          <w:sz w:val="30"/>
          <w:szCs w:val="30"/>
          <w14:textFill>
            <w14:solidFill>
              <w14:schemeClr w14:val="tx1"/>
            </w14:solidFill>
          </w14:textFill>
        </w:rPr>
      </w:pPr>
    </w:p>
    <w:p>
      <w:pPr>
        <w:pStyle w:val="77"/>
        <w:ind w:firstLine="0" w:firstLineChars="0"/>
        <w:jc w:val="center"/>
        <w:rPr>
          <w:rFonts w:ascii="宋体"/>
          <w:b/>
          <w:bCs/>
          <w:color w:val="000000" w:themeColor="text1"/>
          <w:sz w:val="30"/>
          <w:szCs w:val="30"/>
          <w14:textFill>
            <w14:solidFill>
              <w14:schemeClr w14:val="tx1"/>
            </w14:solidFill>
          </w14:textFill>
        </w:rPr>
      </w:pPr>
    </w:p>
    <w:p>
      <w:pPr>
        <w:spacing w:line="360" w:lineRule="auto"/>
        <w:ind w:firstLine="1260" w:firstLineChars="450"/>
        <w:rPr>
          <w:rFonts w:eastAsia="黑体"/>
          <w:color w:val="000000" w:themeColor="text1"/>
          <w:sz w:val="28"/>
          <w:szCs w:val="28"/>
          <w:u w:val="single"/>
          <w14:textFill>
            <w14:solidFill>
              <w14:schemeClr w14:val="tx1"/>
            </w14:solidFill>
          </w14:textFill>
        </w:rPr>
      </w:pPr>
      <w:r>
        <w:rPr>
          <w:rFonts w:eastAsia="黑体"/>
          <w:color w:val="000000" w:themeColor="text1"/>
          <w:sz w:val="28"/>
          <w:szCs w:val="28"/>
          <w14:textFill>
            <w14:solidFill>
              <w14:schemeClr w14:val="tx1"/>
            </w14:solidFill>
          </w14:textFill>
        </w:rPr>
        <w:t>编制单位</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莆田市城厢区人民政府</w:t>
      </w:r>
      <w:r>
        <w:rPr>
          <w:rFonts w:eastAsia="黑体"/>
          <w:color w:val="000000" w:themeColor="text1"/>
          <w:sz w:val="28"/>
          <w:szCs w:val="28"/>
          <w:u w:val="single"/>
          <w14:textFill>
            <w14:solidFill>
              <w14:schemeClr w14:val="tx1"/>
            </w14:solidFill>
          </w14:textFill>
        </w:rPr>
        <w:t xml:space="preserve">          </w:t>
      </w:r>
    </w:p>
    <w:p>
      <w:pPr>
        <w:spacing w:line="360" w:lineRule="auto"/>
        <w:rPr>
          <w:rFonts w:eastAsia="黑体"/>
          <w:color w:val="000000" w:themeColor="text1"/>
          <w:sz w:val="28"/>
          <w:szCs w:val="28"/>
          <w:u w:val="single"/>
          <w14:textFill>
            <w14:solidFill>
              <w14:schemeClr w14:val="tx1"/>
            </w14:solidFill>
          </w14:textFill>
        </w:rPr>
      </w:pPr>
      <w:r>
        <w:rPr>
          <w:rFonts w:eastAsia="黑体"/>
          <w:color w:val="000000" w:themeColor="text1"/>
          <w:kern w:val="0"/>
          <w:sz w:val="28"/>
          <w:szCs w:val="28"/>
          <w14:textFill>
            <w14:solidFill>
              <w14:schemeClr w14:val="tx1"/>
            </w14:solidFill>
          </w14:textFill>
        </w:rPr>
        <w:t xml:space="preserve">         版 本 号</w:t>
      </w:r>
      <w:r>
        <w:rPr>
          <w:rFonts w:eastAsia="黑体"/>
          <w:color w:val="000000" w:themeColor="text1"/>
          <w:sz w:val="28"/>
          <w:szCs w:val="28"/>
          <w:u w:val="single"/>
          <w14:textFill>
            <w14:solidFill>
              <w14:schemeClr w14:val="tx1"/>
            </w14:solidFill>
          </w14:textFill>
        </w:rPr>
        <w:t>　　　    CXYYS-201</w:t>
      </w:r>
      <w:r>
        <w:rPr>
          <w:rFonts w:hint="eastAsia" w:eastAsia="黑体"/>
          <w:color w:val="000000" w:themeColor="text1"/>
          <w:sz w:val="28"/>
          <w:szCs w:val="28"/>
          <w:u w:val="single"/>
          <w14:textFill>
            <w14:solidFill>
              <w14:schemeClr w14:val="tx1"/>
            </w14:solidFill>
          </w14:textFill>
        </w:rPr>
        <w:t>9</w:t>
      </w:r>
      <w:r>
        <w:rPr>
          <w:rFonts w:eastAsia="黑体"/>
          <w:color w:val="000000" w:themeColor="text1"/>
          <w:sz w:val="28"/>
          <w:szCs w:val="28"/>
          <w:u w:val="single"/>
          <w14:textFill>
            <w14:solidFill>
              <w14:schemeClr w14:val="tx1"/>
            </w14:solidFill>
          </w14:textFill>
        </w:rPr>
        <w:t xml:space="preserve">-01　 　     　 </w:t>
      </w:r>
    </w:p>
    <w:p>
      <w:pPr>
        <w:spacing w:line="360" w:lineRule="auto"/>
        <w:rPr>
          <w:color w:val="000000" w:themeColor="text1"/>
          <w14:textFill>
            <w14:solidFill>
              <w14:schemeClr w14:val="tx1"/>
            </w14:solidFill>
          </w14:textFill>
        </w:rPr>
      </w:pPr>
      <w:r>
        <w:rPr>
          <w:rFonts w:eastAsia="黑体"/>
          <w:color w:val="000000" w:themeColor="text1"/>
          <w:sz w:val="28"/>
          <w:szCs w:val="28"/>
          <w14:textFill>
            <w14:solidFill>
              <w14:schemeClr w14:val="tx1"/>
            </w14:solidFill>
          </w14:textFill>
        </w:rPr>
        <w:t xml:space="preserve">         实施日期</w:t>
      </w:r>
      <w:r>
        <w:rPr>
          <w:rFonts w:eastAsia="黑体"/>
          <w:color w:val="000000" w:themeColor="text1"/>
          <w:sz w:val="28"/>
          <w:szCs w:val="28"/>
          <w:u w:val="single"/>
          <w14:textFill>
            <w14:solidFill>
              <w14:schemeClr w14:val="tx1"/>
            </w14:solidFill>
          </w14:textFill>
        </w:rPr>
        <w:t>　　　　　 　          　　　　　　　</w:t>
      </w:r>
    </w:p>
    <w:p>
      <w:pPr>
        <w:rPr>
          <w:color w:val="000000" w:themeColor="text1"/>
          <w14:textFill>
            <w14:solidFill>
              <w14:schemeClr w14:val="tx1"/>
            </w14:solidFill>
          </w14:textFill>
        </w:rPr>
        <w:sectPr>
          <w:pgSz w:w="11906" w:h="16838"/>
          <w:pgMar w:top="1440" w:right="1800" w:bottom="1440" w:left="1800" w:header="851" w:footer="454" w:gutter="0"/>
          <w:pgNumType w:start="1"/>
          <w:cols w:space="720" w:num="1"/>
          <w:docGrid w:type="lines" w:linePitch="381" w:charSpace="0"/>
        </w:sectPr>
      </w:pPr>
      <w:bookmarkStart w:id="41" w:name="_Toc528234234"/>
      <w:bookmarkStart w:id="42" w:name="_Toc523153498"/>
      <w:bookmarkStart w:id="43" w:name="_Toc523219292"/>
      <w:bookmarkStart w:id="44" w:name="_Toc523223340"/>
      <w:bookmarkStart w:id="45" w:name="_Toc523220067"/>
      <w:bookmarkStart w:id="46" w:name="_Toc27714"/>
      <w:bookmarkStart w:id="47" w:name="_Toc21298"/>
      <w:bookmarkStart w:id="48" w:name="_Toc522893223"/>
      <w:bookmarkStart w:id="49" w:name="_Toc529453098"/>
      <w:bookmarkStart w:id="50" w:name="_Toc523219581"/>
      <w:bookmarkStart w:id="51" w:name="_Toc15923"/>
      <w:bookmarkStart w:id="52" w:name="_Toc529453252"/>
      <w:bookmarkStart w:id="53" w:name="_Toc523223880"/>
      <w:bookmarkStart w:id="54" w:name="_Toc527026527"/>
      <w:bookmarkStart w:id="55" w:name="_Toc522893261"/>
    </w:p>
    <w:p>
      <w:pPr>
        <w:pStyle w:val="2"/>
        <w:sectPr>
          <w:pgSz w:w="11906" w:h="16838"/>
          <w:pgMar w:top="1440" w:right="1800" w:bottom="1440" w:left="1800" w:header="851" w:footer="454" w:gutter="0"/>
          <w:pgNumType w:start="1"/>
          <w:cols w:space="720" w:num="1"/>
          <w:docGrid w:type="lines" w:linePitch="381" w:charSpace="0"/>
        </w:sectPr>
      </w:pPr>
    </w:p>
    <w:p>
      <w:pPr>
        <w:rPr>
          <w:color w:val="000000" w:themeColor="text1"/>
          <w14:textFill>
            <w14:solidFill>
              <w14:schemeClr w14:val="tx1"/>
            </w14:solidFill>
          </w14:textFill>
        </w:rPr>
      </w:pPr>
    </w:p>
    <w:sdt>
      <w:sdtPr>
        <w:rPr>
          <w:rFonts w:ascii="宋体" w:hAnsi="宋体"/>
          <w:b/>
          <w:bCs/>
          <w:color w:val="000000" w:themeColor="text1"/>
          <w:kern w:val="2"/>
          <w:sz w:val="28"/>
          <w:szCs w:val="28"/>
          <w14:textFill>
            <w14:solidFill>
              <w14:schemeClr w14:val="tx1"/>
            </w14:solidFill>
          </w14:textFill>
        </w:rPr>
        <w:id w:val="147463997"/>
        <w:docPartObj>
          <w:docPartGallery w:val="Table of Contents"/>
          <w:docPartUnique/>
        </w:docPartObj>
      </w:sdtPr>
      <w:sdtEndPr>
        <w:rPr>
          <w:rFonts w:ascii="Times New Roman" w:hAnsi="Times New Roman"/>
          <w:b/>
          <w:bCs/>
          <w:color w:val="000000" w:themeColor="text1"/>
          <w:kern w:val="2"/>
          <w:sz w:val="20"/>
          <w:szCs w:val="20"/>
          <w14:textFill>
            <w14:solidFill>
              <w14:schemeClr w14:val="tx1"/>
            </w14:solidFill>
          </w14:textFill>
        </w:rPr>
      </w:sdtEndPr>
      <w:sdtContent>
        <w:p>
          <w:pPr>
            <w:pStyle w:val="170"/>
            <w:tabs>
              <w:tab w:val="right" w:leader="dot" w:pos="8306"/>
            </w:tabs>
            <w:jc w:val="center"/>
            <w:rPr>
              <w:rFonts w:ascii="宋体" w:hAnsi="宋体"/>
              <w:b/>
              <w:bCs/>
              <w:color w:val="000000" w:themeColor="text1"/>
              <w:kern w:val="2"/>
              <w:sz w:val="28"/>
              <w:szCs w:val="28"/>
              <w14:textFill>
                <w14:solidFill>
                  <w14:schemeClr w14:val="tx1"/>
                </w14:solidFill>
              </w14:textFill>
            </w:rPr>
          </w:pPr>
          <w:r>
            <w:rPr>
              <w:rFonts w:hint="eastAsia" w:ascii="宋体" w:hAnsi="宋体"/>
              <w:b/>
              <w:bCs/>
              <w:color w:val="000000" w:themeColor="text1"/>
              <w:kern w:val="2"/>
              <w:sz w:val="28"/>
              <w:szCs w:val="28"/>
              <w14:textFill>
                <w14:solidFill>
                  <w14:schemeClr w14:val="tx1"/>
                </w14:solidFill>
              </w14:textFill>
            </w:rPr>
            <w:t>目 录</w:t>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fldChar w:fldCharType="begin"/>
          </w:r>
          <w:r>
            <w:rPr>
              <w:rFonts w:eastAsia="宋体"/>
              <w:color w:val="000000" w:themeColor="text1"/>
              <w:sz w:val="24"/>
              <w:szCs w:val="24"/>
              <w14:textFill>
                <w14:solidFill>
                  <w14:schemeClr w14:val="tx1"/>
                </w14:solidFill>
              </w14:textFill>
            </w:rPr>
            <w:instrText xml:space="preserve">TOC \o "1-3" \h \u </w:instrText>
          </w:r>
          <w:r>
            <w:rPr>
              <w:rFonts w:eastAsia="宋体"/>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"_Toc26657"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1总则</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_Toc26657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1</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1.1编制目的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_Toc1356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1.2编制依据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_Toc8227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"_Toc31367"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1.3适用范围</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_Toc31367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"_Toc9426"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1.4预案衔接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_Toc9426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1.5工作原则</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_Toc2814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"_Toc13565"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2应急组织指挥体系</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_Toc13565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7</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"_Toc15977"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2.1应急组织指挥机构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_Toc15977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"_Toc29979"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2.2现场应急指挥部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_Toc29979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"_Toc23699"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2.3现场应急工作组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_Toc23699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"_Toc13877"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3应急响应</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_Toc13877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9</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3.1信息收集和研判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_Toc8482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"_Toc16654"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3.1.1信息收集</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_Toc16654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9</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"_Toc9888"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3.1.2信息研判和会商</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_Toc9888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3.2预警</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_Toc12182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"_Toc2721"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3.2.1预警分级</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_Toc2721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"_Toc28395"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3.2.2预警的启动条件</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_Toc28395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12</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"_Toc7226"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3.2.3发布预警和预警级别调整</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_Toc7226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"_Toc5752" </w:instrText>
          </w:r>
          <w:r>
            <w:rPr>
              <w:color w:val="000000" w:themeColor="text1"/>
              <w14:textFill>
                <w14:solidFill>
                  <w14:schemeClr w14:val="tx1"/>
                </w14:solidFill>
              </w14:textFill>
            </w:rPr>
            <w:fldChar w:fldCharType="separate"/>
          </w:r>
          <w:r>
            <w:rPr>
              <w:rFonts w:ascii="Times New Roman" w:hAnsi="Times New Roman" w:cs="Times New Roman"/>
              <w:bCs/>
              <w:i w:val="0"/>
              <w:iCs w:val="0"/>
              <w:color w:val="000000" w:themeColor="text1"/>
              <w:sz w:val="24"/>
              <w:szCs w:val="24"/>
              <w14:textFill>
                <w14:solidFill>
                  <w14:schemeClr w14:val="tx1"/>
                </w14:solidFill>
              </w14:textFill>
            </w:rPr>
            <w:t>3.2.3.1预警发布流程</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_Toc5752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3.2.4预警行动</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_Toc12076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15</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"_Toc25841"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3.2.5预警解除</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_Toc25841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"_Toc16753"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3.3信息报告与通报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_Toc16753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"_Toc31288"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3.3.1信息报告程序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_Toc31288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"_Toc19970"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3.3.2信息报告时限</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_Toc19970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17</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3.3.3信息通报程序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_Toc16154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"_Toc6373"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3.3.4信息报告和通报内容</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_Toc6373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"_Toc17215"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3.4事态研判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_Toc17215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"_Toc16688"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3.5应急监测</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_Toc16688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"_Toc9170"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3.5.1开展应急监测程序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_Toc9170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20</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"_Toc11324"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3.5.2制定应急监测方案</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_Toc11324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3.6污染源排查与处置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_Toc28927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"_Toc31709"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3.6.1明确排查对象</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_Toc31709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22</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"_Toc13887"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3.6.2切断污染源</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_Toc13887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3.7应急处置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_Toc727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"_Toc17350"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3.7.1制定现场处置方案</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_Toc17350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"_Toc32516"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3.7.2供水安全保障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_Toc32516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"_Toc15513"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3.8物资调集及应急设施启用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_Toc15513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"_Toc14753"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3.9舆情监测与信息发布</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_Toc14753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"_Toc22048"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3.9.1发布的主要内容</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_Toc22048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"_Toc26384"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3.10响应终止</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_Toc26384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"_Toc23913"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4后期工作</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_Toc23913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29</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"_Toc10637"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4.1后期防控</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_Toc10637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"_Toc30596"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4.2事件调查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_Toc30596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"_Toc30376"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4.3损害评估</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_Toc30376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"_Toc32145"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4.4善后处置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_Toc32145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"_Toc23944"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5应急保障</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_Toc23944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31</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5.1通讯与信息保障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_Toc6782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"_Toc23612"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5.2应急队伍保障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_Toc23612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"_Toc16269"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5.3应急资源保障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_Toc16269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"_Toc9388"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5.4经费保障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_Toc9388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"_Toc28174"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5.5其他保障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_Toc28174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"_Toc30174"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5.5.1物资、设备设施运输保障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_Toc30174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5.5.2医疗卫生救助保障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_Toc2040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"_Toc5302"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5.5.3治安和人员安全保障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_Toc5302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"_Toc9803"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5.5.4社会动员保障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_Toc9803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"_Toc1876"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6附则</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_Toc1876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34</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"_Toc11090"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6.1名词术语</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_Toc11090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"_Toc4282"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6.2预案解释权属</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_Toc4282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"_Toc14411"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6.3预案演练和修订</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_Toc14411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"_Toc5739"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6.3.1预案演练</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_Toc5739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"_Toc10496"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6.3.2预案修订</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_Toc10496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"_Toc10261"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6.4预案实施日期</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_Toc10261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"_Toc3399"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7附件</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_Toc3399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38</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"_Toc24996"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：城厢区集中式地表水饮用水水源地突发环境事件应急组织指挥体系框架图</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_Toc24996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"_Toc28923"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：不同类型突发环境事件现场应急指挥部及应急工作组组成</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_Toc28923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"_Toc9366"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：城厢区集中式地表水饮用水水源地突发环境事件应急响应流程图</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_Toc9366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"_Toc9807"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：城厢区集中式地表水饮用水水源地突发环境事件现场调查表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_Toc9807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：城厢区集中式地表水饮用水水源地突发环境事件信息报送内容</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_Toc18227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"_Toc16204"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：适用于处理不同超标项目的推荐技术</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_Toc16204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55</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"_Toc8164"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：城厢区集中式地表水饮用水水源地突发环境事件应急物资储备情况</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_Toc8164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"_Toc22500"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：突发事件应急预案启动令和终止令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_Toc22500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"_Toc17720"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：突发环境事件应急结束宣布格式内容</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_Toc17720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"_Toc5421"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：城厢区集中式地表水饮用水水源地突发环境事件相关应急部门及单位联系方式</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_Toc5421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170"/>
            <w:tabs>
              <w:tab w:val="right" w:leader="dot" w:pos="8306"/>
            </w:tabs>
            <w:spacing w:line="360" w:lineRule="auto"/>
            <w:rPr>
              <w:color w:val="000000" w:themeColor="text1"/>
              <w14:textFill>
                <w14:solidFill>
                  <w14:schemeClr w14:val="tx1"/>
                </w14:solidFill>
              </w14:textFill>
            </w:rPr>
          </w:pPr>
          <w:r>
            <w:rPr>
              <w:color w:val="000000" w:themeColor="text1"/>
              <w:sz w:val="24"/>
              <w:szCs w:val="24"/>
              <w14:textFill>
                <w14:solidFill>
                  <w14:schemeClr w14:val="tx1"/>
                </w14:solidFill>
              </w14:textFill>
            </w:rPr>
            <w:fldChar w:fldCharType="end"/>
          </w:r>
        </w:p>
      </w:sdtContent>
    </w:sdt>
    <w:p>
      <w:pPr>
        <w:adjustRightInd w:val="0"/>
        <w:snapToGrid w:val="0"/>
        <w:outlineLvl w:val="0"/>
        <w:rPr>
          <w:bCs/>
          <w:color w:val="000000" w:themeColor="text1"/>
          <w:sz w:val="32"/>
          <w:szCs w:val="32"/>
          <w14:textFill>
            <w14:solidFill>
              <w14:schemeClr w14:val="tx1"/>
            </w14:solidFill>
          </w14:textFill>
        </w:rPr>
        <w:sectPr>
          <w:footerReference r:id="rId3" w:type="default"/>
          <w:pgSz w:w="11906" w:h="16838"/>
          <w:pgMar w:top="1440" w:right="1800" w:bottom="1440" w:left="1800" w:header="851" w:footer="454" w:gutter="0"/>
          <w:pgNumType w:start="1"/>
          <w:cols w:space="720" w:num="1"/>
          <w:docGrid w:type="lines" w:linePitch="381" w:charSpace="0"/>
        </w:sectPr>
      </w:pP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6" w:name="_Toc26657"/>
      <w:r>
        <w:rPr>
          <w:rFonts w:hint="eastAsia" w:eastAsia="黑体"/>
          <w:bCs/>
          <w:color w:val="000000" w:themeColor="text1"/>
          <w:sz w:val="32"/>
          <w:szCs w:val="32"/>
          <w14:textFill>
            <w14:solidFill>
              <w14:schemeClr w14:val="tx1"/>
            </w14:solidFill>
          </w14:textFill>
        </w:rPr>
        <w:t>1总则</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6"/>
    </w:p>
    <w:p>
      <w:pPr>
        <w:adjustRightInd w:val="0"/>
        <w:snapToGrid w:val="0"/>
        <w:spacing w:line="324" w:lineRule="auto"/>
        <w:ind w:right="480"/>
        <w:outlineLvl w:val="1"/>
        <w:rPr>
          <w:rFonts w:ascii="Calibri" w:hAnsi="Calibri" w:eastAsia="仿宋"/>
          <w:b/>
          <w:color w:val="000000" w:themeColor="text1"/>
          <w:sz w:val="32"/>
          <w:szCs w:val="32"/>
          <w14:textFill>
            <w14:solidFill>
              <w14:schemeClr w14:val="tx1"/>
            </w14:solidFill>
          </w14:textFill>
        </w:rPr>
      </w:pPr>
      <w:bookmarkStart w:id="57" w:name="_Toc529453099"/>
      <w:bookmarkStart w:id="58" w:name="_Toc529453253"/>
      <w:bookmarkStart w:id="59" w:name="_Toc28424_WPSOffice_Level1"/>
      <w:bookmarkStart w:id="60" w:name="_Toc523223341"/>
      <w:bookmarkStart w:id="61" w:name="_Toc1055"/>
      <w:bookmarkStart w:id="62" w:name="_Toc527026528"/>
      <w:bookmarkStart w:id="63" w:name="_Toc523223881"/>
      <w:bookmarkStart w:id="64" w:name="_Toc528234235"/>
      <w:bookmarkStart w:id="65" w:name="_Toc1356"/>
      <w:bookmarkStart w:id="66" w:name="_Toc523219293"/>
      <w:bookmarkStart w:id="67" w:name="_Toc2445"/>
      <w:bookmarkStart w:id="68" w:name="_Toc522893224"/>
      <w:bookmarkStart w:id="69" w:name="_Toc523153499"/>
      <w:bookmarkStart w:id="70" w:name="_Toc523220068"/>
      <w:bookmarkStart w:id="71" w:name="_Toc30566"/>
      <w:bookmarkStart w:id="72" w:name="_Toc523219582"/>
      <w:r>
        <w:rPr>
          <w:rFonts w:hint="eastAsia" w:ascii="Calibri" w:hAnsi="Calibri" w:eastAsia="仿宋"/>
          <w:b/>
          <w:color w:val="000000" w:themeColor="text1"/>
          <w:sz w:val="32"/>
          <w:szCs w:val="32"/>
          <w14:textFill>
            <w14:solidFill>
              <w14:schemeClr w14:val="tx1"/>
            </w14:solidFill>
          </w14:textFill>
        </w:rPr>
        <w:t>1.1编制目的</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为确保城市供水安全，有效应对城厢区集中式地表水饮用水水源地（以下简称水源地）突发环境事件，快速、有序、高效地排除污染物，最大程度降低突发环境事件对水源地水质影响，及时控制和消除突发环境事件造成的供水短缺和危害，指导水源地突发环境事件规范应对的各项工作，维护社会稳定和保障经济发展，根据国家、地方相关法律法规，结合城厢区水源地实际情况，特制定本预案。</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3" w:name="_Toc527026529"/>
      <w:bookmarkStart w:id="74" w:name="_Toc9968"/>
      <w:bookmarkStart w:id="75" w:name="_Toc523223342"/>
      <w:bookmarkStart w:id="76" w:name="_Toc523153500"/>
      <w:bookmarkStart w:id="77" w:name="_Toc529453100"/>
      <w:bookmarkStart w:id="78" w:name="_Toc523220069"/>
      <w:bookmarkStart w:id="79" w:name="_Toc1333_WPSOffice_Level1"/>
      <w:bookmarkStart w:id="80" w:name="_Toc523223882"/>
      <w:bookmarkStart w:id="81" w:name="_Toc523219294"/>
      <w:bookmarkStart w:id="82" w:name="_Toc523219583"/>
      <w:bookmarkStart w:id="83" w:name="_Toc1106"/>
      <w:bookmarkStart w:id="84" w:name="_Toc8227"/>
      <w:bookmarkStart w:id="85" w:name="_Toc528234236"/>
      <w:bookmarkStart w:id="86" w:name="_Toc529453254"/>
      <w:bookmarkStart w:id="87" w:name="_Toc486519935"/>
      <w:bookmarkStart w:id="88" w:name="_Toc11549"/>
      <w:bookmarkStart w:id="89" w:name="_Toc522893225"/>
      <w:r>
        <w:rPr>
          <w:rFonts w:hint="eastAsia" w:eastAsia="仿宋"/>
          <w:b/>
          <w:color w:val="000000" w:themeColor="text1"/>
          <w:sz w:val="32"/>
          <w:szCs w:val="32"/>
          <w14:textFill>
            <w14:solidFill>
              <w14:schemeClr w14:val="tx1"/>
            </w14:solidFill>
          </w14:textFill>
        </w:rPr>
        <w:t>1.2编制依据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adjustRightInd w:val="0"/>
        <w:snapToGrid w:val="0"/>
        <w:spacing w:line="324" w:lineRule="auto"/>
        <w:jc w:val="left"/>
        <w:outlineLvl w:val="3"/>
        <w:rPr>
          <w:rFonts w:ascii="Calibri" w:hAnsi="Calibri" w:eastAsia="仿宋"/>
          <w:b/>
          <w:color w:val="000000" w:themeColor="text1"/>
          <w:sz w:val="32"/>
          <w:szCs w:val="32"/>
          <w14:textFill>
            <w14:solidFill>
              <w14:schemeClr w14:val="tx1"/>
            </w14:solidFill>
          </w14:textFill>
        </w:rPr>
      </w:pPr>
      <w:bookmarkStart w:id="90" w:name="_Toc523220070"/>
      <w:bookmarkStart w:id="91" w:name="_Toc518463455"/>
      <w:bookmarkStart w:id="92" w:name="_Toc527026530"/>
      <w:bookmarkStart w:id="93" w:name="_Toc8919"/>
      <w:bookmarkStart w:id="94" w:name="_Toc523153501"/>
      <w:r>
        <w:rPr>
          <w:rFonts w:hint="eastAsia" w:ascii="Calibri" w:hAnsi="Calibri" w:eastAsia="仿宋"/>
          <w:b/>
          <w:color w:val="000000" w:themeColor="text1"/>
          <w:sz w:val="32"/>
          <w:szCs w:val="32"/>
          <w14:textFill>
            <w14:solidFill>
              <w14:schemeClr w14:val="tx1"/>
            </w14:solidFill>
          </w14:textFill>
        </w:rPr>
        <w:t>1.2.1法律、法规和规章</w:t>
      </w:r>
      <w:bookmarkEnd w:id="90"/>
      <w:bookmarkEnd w:id="91"/>
      <w:bookmarkEnd w:id="92"/>
      <w:bookmarkEnd w:id="93"/>
      <w:bookmarkEnd w:id="9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（1）《中华人民共和国环境保护法》2015年1月1日起施行；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（2）《中华人民共和国突发事件应对法》2007年11月1日起施行；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（3）《中华人民共和国水法》2016年10月1日起施行；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（4）《中华人民共和国水污染防治法》2018年1月1日起施行；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（5）《危险化学品安全管理条例》（国务院令第591号）；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（6）《饮用水水源保护区污染防治管理规定》（环境保护部令第16号，2010年12月22日修订）；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（7）《突发环境事件信息报告办法》（环境保护部令第17号）；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（8）《突发环境事件调查处理办法》（环境保护部令第32号）；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（9）《突发环境事件应急管理办法》（环境保护部令第34号）；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（10）《城市供水水质管理规定》（建设部令第156号）；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（11）《生活饮用水卫生监督管理办法》（住房城乡建设部、国家卫生计生委令第31号）；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（12）《莆田市东圳库区水环境保护条例》。</w:t>
      </w:r>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bookmarkStart w:id="95" w:name="_Toc527026531"/>
      <w:bookmarkStart w:id="96" w:name="_Toc518463456"/>
      <w:bookmarkStart w:id="97" w:name="_Toc523220071"/>
      <w:bookmarkStart w:id="98" w:name="_Toc30699"/>
      <w:bookmarkStart w:id="99" w:name="_Toc523153502"/>
      <w:r>
        <w:rPr>
          <w:rFonts w:hint="eastAsia" w:eastAsia="仿宋"/>
          <w:b/>
          <w:color w:val="000000" w:themeColor="text1"/>
          <w:sz w:val="32"/>
          <w:szCs w:val="32"/>
          <w14:textFill>
            <w14:solidFill>
              <w14:schemeClr w14:val="tx1"/>
            </w14:solidFill>
          </w14:textFill>
        </w:rPr>
        <w:t>1.2.2 有关预案、标准规范和规范性文件</w:t>
      </w:r>
      <w:bookmarkEnd w:id="95"/>
      <w:bookmarkEnd w:id="96"/>
      <w:bookmarkEnd w:id="97"/>
      <w:bookmarkEnd w:id="98"/>
      <w:bookmarkEnd w:id="9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（1）《国家突发环境事件应急预案》（国办函[2014]119号）；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（2）《地表水环境质量标准》（GB3838）；</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（3）《突发环境事件应急监测技术规范》（HJ589）；</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（4）《集中式饮用水水源地规范化建设环境保护技术要求》（HJ773）；</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（5）《集中式饮用水水源地环境保护状况评估技术规范》（HJ774）；</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（6）《企业突发环境事件风险分级方法》（HJ941-2018）；</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（7）《突发环境事件应急预案管理暂行办法》（环发〔2010〕113号）；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（8）《集中式地表饮用水水源地环境应急管理工作指南》（环办〔2011〕93号）；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（9）《集中式饮用水水源环境保护指南（试行）》（环办〔2012〕50号）；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（10）《企业突发环境事件风险评估指南（试行）》（环办〔2014〕34号）；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（11）《突发环境事件应急处置阶段污染损害评估工作程序规定》（环发〔2013〕85号）；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（12）《企业事业单位突发环境事件应急预案备案管理办法（试行）》（环发〔2015〕4号）；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（13）《行政区域突发环境事件风险评估推荐方法》（环办应急〔2018〕9号）；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（14）《集中式地表水饮用水水源地突发环境事件应急预案编制指南》（试行）（生态环境部公告 2018年第1号）；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（15）《福建省城市供水系统重大事故应急预案》；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（16）《福建省人民政府办公厅关于建立突发事件信息速报机制的通知》（闽政办[2013]80号）；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（17）《福建省人民政府关于莆田市东圳水库等四个饮用水水源保护区调整方案及金钟水库等两个饮用水水源保护区划定方案的批复》（闽政文[2012]137号）；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（18）《福建省人民政府关于城厢区华亭镇等19个乡镇生活饮用水地表水源保护区划定方案的批复》（闽政文[2007]243号）；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lang w:val="en-US" w:eastAsia="zh-CN"/>
          <w14:textFill>
            <w14:solidFill>
              <w14:schemeClr w14:val="tx1"/>
            </w14:solidFill>
          </w14:textFill>
        </w:rPr>
        <w:t>19</w:t>
      </w:r>
      <w:r>
        <w:rPr>
          <w:rFonts w:hint="eastAsia" w:eastAsia="仿宋"/>
          <w:color w:val="000000" w:themeColor="text1"/>
          <w:kern w:val="0"/>
          <w:sz w:val="32"/>
          <w:szCs w:val="32"/>
          <w14:textFill>
            <w14:solidFill>
              <w14:schemeClr w14:val="tx1"/>
            </w14:solidFill>
          </w14:textFill>
        </w:rPr>
        <w:t>）《莆田市突发环境事件应急预案》；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0</w:t>
      </w:r>
      <w:r>
        <w:rPr>
          <w:rFonts w:hint="eastAsia" w:eastAsia="仿宋"/>
          <w:color w:val="000000" w:themeColor="text1"/>
          <w:kern w:val="0"/>
          <w:sz w:val="32"/>
          <w:szCs w:val="32"/>
          <w14:textFill>
            <w14:solidFill>
              <w14:schemeClr w14:val="tx1"/>
            </w14:solidFill>
          </w14:textFill>
        </w:rPr>
        <w:t>）莆田市人民政府办公室关于印发莆田市城市饮用水源突发环境污染事件应急处置工作预案的通知 （莆政办〔2008〕106号）；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1</w:t>
      </w:r>
      <w:r>
        <w:rPr>
          <w:rFonts w:hint="eastAsia" w:eastAsia="仿宋"/>
          <w:color w:val="000000" w:themeColor="text1"/>
          <w:kern w:val="0"/>
          <w:sz w:val="32"/>
          <w:szCs w:val="32"/>
          <w14:textFill>
            <w14:solidFill>
              <w14:schemeClr w14:val="tx1"/>
            </w14:solidFill>
          </w14:textFill>
        </w:rPr>
        <w:t>）《莆田市环境保护局突发环境事件应急预案》（2017年修订本）；</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2</w:t>
      </w:r>
      <w:r>
        <w:rPr>
          <w:rFonts w:hint="eastAsia" w:eastAsia="仿宋"/>
          <w:color w:val="000000" w:themeColor="text1"/>
          <w:kern w:val="0"/>
          <w:sz w:val="32"/>
          <w:szCs w:val="32"/>
          <w14:textFill>
            <w14:solidFill>
              <w14:schemeClr w14:val="tx1"/>
            </w14:solidFill>
          </w14:textFill>
        </w:rPr>
        <w:t>）《莆田市环境监测中心站突发环境事件应急监预案》(莆环站〔2013〕45号)；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3</w:t>
      </w:r>
      <w:r>
        <w:rPr>
          <w:rFonts w:hint="eastAsia" w:eastAsia="仿宋"/>
          <w:color w:val="000000" w:themeColor="text1"/>
          <w:kern w:val="0"/>
          <w:sz w:val="32"/>
          <w:szCs w:val="32"/>
          <w14:textFill>
            <w14:solidFill>
              <w14:schemeClr w14:val="tx1"/>
            </w14:solidFill>
          </w14:textFill>
        </w:rPr>
        <w:t>）《莆田市城厢区人民政府关于印发莆田市城厢区突发环境事件应急预案的通知》（莆城政〔2017〕266号）；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4</w:t>
      </w:r>
      <w:r>
        <w:rPr>
          <w:rFonts w:hint="eastAsia" w:eastAsia="仿宋"/>
          <w:color w:val="000000" w:themeColor="text1"/>
          <w:kern w:val="0"/>
          <w:sz w:val="32"/>
          <w:szCs w:val="32"/>
          <w14:textFill>
            <w14:solidFill>
              <w14:schemeClr w14:val="tx1"/>
            </w14:solidFill>
          </w14:textFill>
        </w:rPr>
        <w:t>）《莆田市城厢区生态环境局突发环境事件应急预案》（2017版）；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5</w:t>
      </w:r>
      <w:r>
        <w:rPr>
          <w:rFonts w:hint="eastAsia" w:eastAsia="仿宋"/>
          <w:color w:val="000000" w:themeColor="text1"/>
          <w:kern w:val="0"/>
          <w:sz w:val="32"/>
          <w:szCs w:val="32"/>
          <w14:textFill>
            <w14:solidFill>
              <w14:schemeClr w14:val="tx1"/>
            </w14:solidFill>
          </w14:textFill>
        </w:rPr>
        <w:t>）《东圳水库突发环境事件应急预案》；</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00" w:name="_Toc528234237"/>
      <w:bookmarkStart w:id="101" w:name="_Toc11830"/>
      <w:bookmarkStart w:id="102" w:name="_Toc31367"/>
      <w:bookmarkStart w:id="103" w:name="_Toc523219584"/>
      <w:bookmarkStart w:id="104" w:name="_Toc1318"/>
      <w:bookmarkStart w:id="105" w:name="_Toc523219295"/>
      <w:bookmarkStart w:id="106" w:name="_Toc486519936"/>
      <w:bookmarkStart w:id="107" w:name="_Toc16810_WPSOffice_Level1"/>
      <w:bookmarkStart w:id="108" w:name="_Toc523223883"/>
      <w:bookmarkStart w:id="109" w:name="_Toc523153503"/>
      <w:bookmarkStart w:id="110" w:name="_Toc523220072"/>
      <w:bookmarkStart w:id="111" w:name="_Toc23232"/>
      <w:bookmarkStart w:id="112" w:name="_Toc527026532"/>
      <w:bookmarkStart w:id="113" w:name="_Toc529453101"/>
      <w:bookmarkStart w:id="114" w:name="_Toc523223343"/>
      <w:bookmarkStart w:id="115" w:name="_Toc522893226"/>
      <w:bookmarkStart w:id="116" w:name="_Toc529453255"/>
      <w:r>
        <w:rPr>
          <w:rFonts w:hint="eastAsia" w:eastAsia="仿宋"/>
          <w:b/>
          <w:color w:val="000000" w:themeColor="text1"/>
          <w:sz w:val="32"/>
          <w:szCs w:val="32"/>
          <w14:textFill>
            <w14:solidFill>
              <w14:schemeClr w14:val="tx1"/>
            </w14:solidFill>
          </w14:textFill>
        </w:rPr>
        <w:t>1.3适用范围</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适用的地域范围（即启动水源地应急预案范围）包括城厢区行政区域内水源地一、二级保护区内的地表水域和陆域。城厢区行政区域内水源地包括（东圳水库、径里水库、桂山水库、朝阳水库、红旗水库、院里水库、海头水库）。</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17" w:name="_Toc529453102"/>
      <w:bookmarkStart w:id="118" w:name="_Toc527026533"/>
      <w:bookmarkStart w:id="119" w:name="_Toc522893227"/>
      <w:bookmarkStart w:id="120" w:name="_Toc523219585"/>
      <w:bookmarkStart w:id="121" w:name="_Toc523219296"/>
      <w:bookmarkStart w:id="122" w:name="_Toc9426"/>
      <w:bookmarkStart w:id="123" w:name="_Toc523220073"/>
      <w:bookmarkStart w:id="124" w:name="_Toc12879_WPSOffice_Level1"/>
      <w:bookmarkStart w:id="125" w:name="_Toc523223884"/>
      <w:bookmarkStart w:id="126" w:name="_Toc1071"/>
      <w:bookmarkStart w:id="127" w:name="_Toc17657"/>
      <w:bookmarkStart w:id="128" w:name="_Toc523153504"/>
      <w:bookmarkStart w:id="129" w:name="_Toc4067"/>
      <w:bookmarkStart w:id="130" w:name="_Toc529453256"/>
      <w:bookmarkStart w:id="131" w:name="_Toc523223344"/>
      <w:bookmarkStart w:id="132" w:name="_Toc528234238"/>
      <w:bookmarkStart w:id="133" w:name="_Toc486519937"/>
      <w:r>
        <w:rPr>
          <w:rFonts w:hint="eastAsia" w:eastAsia="仿宋"/>
          <w:b/>
          <w:color w:val="000000" w:themeColor="text1"/>
          <w:sz w:val="32"/>
          <w:szCs w:val="32"/>
          <w14:textFill>
            <w14:solidFill>
              <w14:schemeClr w14:val="tx1"/>
            </w14:solidFill>
          </w14:textFill>
        </w:rPr>
        <w:t>1.4预案衔接</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城厢区水源地突发环境事件应急预案体系由市级、区级和企事业单位水源地突发环境事件应急预案三大类组成。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（1）市级水源地突发环境事件应急预案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市级水源地突发环境事件应急预案体系包括《莆田市突发环境事件应急预案》《莆田市集中式饮用水水源保护区突发环境事件应急预案》和部门应急预案等。其中，《莆田市突发环境事件应急预案》是全市预防和处置突发环境事件的指导性文件，《东圳水库突发环境事件应急预案》、《莆田市集中式饮用水水源保护区突发环境事件应急预案》是《莆田市突发环境事件应急预案》中有关水源地突发环境事件的专项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（2）区级水源地突发环境事件应急预案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集中式饮用水水源地突发环境事件应急预案》是城厢区各水源地预防和处置突发环境事件的指导性文件，是《莆田市城厢区突发环境事件应急预案》中有关水源地突发环境事件的专项应急预案的一项专项应急预案。区级应急预案体系应包括《莆田市城厢区突发环境事件应急预案》、《城厢区集中式饮用水水源地突发环境事件应急预案》、《桂山水库饮用水水源地突发环境事件应急预案》、《院里水库饮用水水源地突发环境事件应急预案》、《径里水库饮用水水源地突发环境事件应急预案》、《朝阳水库饮用水水源地突发环境事件应急预案》、《红旗水库饮用水水源地突发环境事件应急预案》、《海头水库饮用水水源地突发环境事件应急预案》及部门环境突发环境事件应急预案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（3）水源地管理单位突发环境事件应急预案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管理单位突发环境事件应急预案是各管理单位根据有关法律法规和规章，结合本单位实际制定的应急预案，主要有《东圳水库突发环境事件应急预案》、《桂山水库饮用水水源地突发环境事件应急预案》、《院里水库饮用水水源地突发环境事件应急预案》、《径里水库饮用水水源地突发环境事件应急预案》、《朝阳水库饮用水水源地突发环境事件应急预案》、《红旗水库饮用水水源地突发环境事件应急预案》、《海头水库饮用水水源地突发环境事件应急预案》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突发环境事件应急预案制定单位应当根据实际需要，制定预案简明操作手册或行动指南，增强预案的实用性、可操作性和便携性；应当依托各级应急平台，建立应急预案数据库，提高应急预案管理的信息化水平。</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各事发地镇政府可参照本预案编制乡镇水源地突发环境事件应急预案。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事件发生后，首先启动所在行政区域的事发地镇政府或部门突发环境事件应急预案，一旦污染物迁移到水源地应急预案适用的地域范围，则适用并启动水源地应急预案。各饮用水源管理单位和水源地地域范围内有关单位应针对突发环境事件发生、发展及污染物迁移的全过程，为主或配合做好污染物拦截、信息收集研判、事件预警和应急响应等工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34" w:name="_Toc523220074"/>
      <w:bookmarkStart w:id="135" w:name="_Toc2814"/>
      <w:bookmarkStart w:id="136" w:name="_Toc527026534"/>
      <w:bookmarkStart w:id="137" w:name="_Toc523219297"/>
      <w:bookmarkStart w:id="138" w:name="_Toc529453257"/>
      <w:bookmarkStart w:id="139" w:name="_Toc10247_WPSOffice_Level1"/>
      <w:bookmarkStart w:id="140" w:name="_Toc771"/>
      <w:bookmarkStart w:id="141" w:name="_Toc21327"/>
      <w:bookmarkStart w:id="142" w:name="_Toc523153505"/>
      <w:bookmarkStart w:id="143" w:name="_Toc523223345"/>
      <w:bookmarkStart w:id="144" w:name="_Toc523219586"/>
      <w:bookmarkStart w:id="145" w:name="_Toc523223885"/>
      <w:bookmarkStart w:id="146" w:name="_Toc11338"/>
      <w:bookmarkStart w:id="147" w:name="_Toc528234239"/>
      <w:bookmarkStart w:id="148" w:name="_Toc522893228"/>
      <w:bookmarkStart w:id="149" w:name="_Toc529453103"/>
      <w:r>
        <w:rPr>
          <w:rFonts w:hint="eastAsia" w:eastAsia="仿宋"/>
          <w:b/>
          <w:color w:val="000000" w:themeColor="text1"/>
          <w:sz w:val="32"/>
          <w:szCs w:val="32"/>
          <w14:textFill>
            <w14:solidFill>
              <w14:schemeClr w14:val="tx1"/>
            </w14:solidFill>
          </w14:textFill>
        </w:rPr>
        <w:t>1.5工作原则</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bookmarkStart w:id="150" w:name="_Toc486519940"/>
      <w:bookmarkStart w:id="151" w:name="_Toc523220078"/>
      <w:bookmarkStart w:id="152" w:name="_Toc13562"/>
      <w:bookmarkStart w:id="153" w:name="_Toc523223887"/>
      <w:bookmarkStart w:id="154" w:name="_Toc529453259"/>
      <w:bookmarkStart w:id="155" w:name="_Toc523153509"/>
      <w:bookmarkStart w:id="156" w:name="_Toc523223347"/>
      <w:bookmarkStart w:id="157" w:name="_Toc528234241"/>
      <w:bookmarkStart w:id="158" w:name="_Toc4482"/>
      <w:bookmarkStart w:id="159" w:name="_Toc523219299"/>
      <w:bookmarkStart w:id="160" w:name="_Toc523219588"/>
      <w:bookmarkStart w:id="161" w:name="_Toc529453105"/>
      <w:bookmarkStart w:id="162" w:name="_Toc527026538"/>
      <w:bookmarkStart w:id="163" w:name="_Toc29864"/>
      <w:bookmarkStart w:id="164" w:name="_Toc522893230"/>
      <w:r>
        <w:rPr>
          <w:rFonts w:eastAsia="仿宋"/>
          <w:b/>
          <w:color w:val="000000" w:themeColor="text1"/>
          <w:sz w:val="32"/>
          <w:szCs w:val="32"/>
          <w14:textFill>
            <w14:solidFill>
              <w14:schemeClr w14:val="tx1"/>
            </w14:solidFill>
          </w14:textFill>
        </w:rPr>
        <w:t>1.5.1统一领导，分工负责、协调联动。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在</w:t>
      </w: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统一领导下，各相关</w:t>
      </w:r>
      <w:r>
        <w:rPr>
          <w:rFonts w:hint="eastAsia" w:eastAsia="仿宋"/>
          <w:color w:val="000000" w:themeColor="text1"/>
          <w:kern w:val="0"/>
          <w:sz w:val="32"/>
          <w:szCs w:val="32"/>
          <w14:textFill>
            <w14:solidFill>
              <w14:schemeClr w14:val="tx1"/>
            </w14:solidFill>
          </w14:textFill>
        </w:rPr>
        <w:t>部门</w:t>
      </w:r>
      <w:r>
        <w:rPr>
          <w:rFonts w:eastAsia="仿宋"/>
          <w:color w:val="000000" w:themeColor="text1"/>
          <w:kern w:val="0"/>
          <w:sz w:val="32"/>
          <w:szCs w:val="32"/>
          <w14:textFill>
            <w14:solidFill>
              <w14:schemeClr w14:val="tx1"/>
            </w14:solidFill>
          </w14:textFill>
        </w:rPr>
        <w:t>明确职责分</w:t>
      </w:r>
      <w:r>
        <w:rPr>
          <w:rFonts w:hint="eastAsia" w:eastAsia="仿宋"/>
          <w:color w:val="000000" w:themeColor="text1"/>
          <w:kern w:val="0"/>
          <w:sz w:val="32"/>
          <w:szCs w:val="32"/>
          <w14:textFill>
            <w14:solidFill>
              <w14:schemeClr w14:val="tx1"/>
            </w14:solidFill>
          </w14:textFill>
        </w:rPr>
        <w:t>工</w:t>
      </w:r>
      <w:r>
        <w:rPr>
          <w:rFonts w:eastAsia="仿宋"/>
          <w:color w:val="000000" w:themeColor="text1"/>
          <w:kern w:val="0"/>
          <w:sz w:val="32"/>
          <w:szCs w:val="32"/>
          <w14:textFill>
            <w14:solidFill>
              <w14:schemeClr w14:val="tx1"/>
            </w14:solidFill>
          </w14:textFill>
        </w:rPr>
        <w:t>负责，协调</w:t>
      </w:r>
      <w:r>
        <w:rPr>
          <w:rFonts w:hint="eastAsia" w:eastAsia="仿宋"/>
          <w:color w:val="000000" w:themeColor="text1"/>
          <w:kern w:val="0"/>
          <w:sz w:val="32"/>
          <w:szCs w:val="32"/>
          <w14:textFill>
            <w14:solidFill>
              <w14:schemeClr w14:val="tx1"/>
            </w14:solidFill>
          </w14:textFill>
        </w:rPr>
        <w:t>联动</w:t>
      </w:r>
      <w:r>
        <w:rPr>
          <w:rFonts w:eastAsia="仿宋"/>
          <w:color w:val="000000" w:themeColor="text1"/>
          <w:kern w:val="0"/>
          <w:sz w:val="32"/>
          <w:szCs w:val="32"/>
          <w14:textFill>
            <w14:solidFill>
              <w14:schemeClr w14:val="tx1"/>
            </w14:solidFill>
          </w14:textFill>
        </w:rPr>
        <w:t>，密切配合、形成合力，协调推进，确保应急处置工作高效、有序运转，建立和完善相关部门的联动机制，充分发挥部门专业优势和专业应急力量作用，在发生突发环境事件时能及时响应，共同应对；加强各相关部门和</w:t>
      </w:r>
      <w:r>
        <w:rPr>
          <w:rFonts w:hint="eastAsia" w:eastAsia="仿宋"/>
          <w:color w:val="000000" w:themeColor="text1"/>
          <w:kern w:val="0"/>
          <w:sz w:val="32"/>
          <w:szCs w:val="32"/>
          <w14:textFill>
            <w14:solidFill>
              <w14:schemeClr w14:val="tx1"/>
            </w14:solidFill>
          </w14:textFill>
        </w:rPr>
        <w:t>事发地镇政府</w:t>
      </w:r>
      <w:r>
        <w:rPr>
          <w:rFonts w:eastAsia="仿宋"/>
          <w:color w:val="000000" w:themeColor="text1"/>
          <w:kern w:val="0"/>
          <w:sz w:val="32"/>
          <w:szCs w:val="32"/>
          <w14:textFill>
            <w14:solidFill>
              <w14:schemeClr w14:val="tx1"/>
            </w14:solidFill>
          </w14:textFill>
        </w:rPr>
        <w:t>的协作配合，建立区域间的应急动员机制，充实应急队伍，提高应急</w:t>
      </w:r>
      <w:r>
        <w:rPr>
          <w:rFonts w:hint="eastAsia" w:eastAsia="仿宋"/>
          <w:color w:val="000000" w:themeColor="text1"/>
          <w:kern w:val="0"/>
          <w:sz w:val="32"/>
          <w:szCs w:val="32"/>
          <w14:textFill>
            <w14:solidFill>
              <w14:schemeClr w14:val="tx1"/>
            </w14:solidFill>
          </w14:textFill>
        </w:rPr>
        <w:t>反</w:t>
      </w:r>
      <w:r>
        <w:rPr>
          <w:rFonts w:eastAsia="仿宋"/>
          <w:color w:val="000000" w:themeColor="text1"/>
          <w:kern w:val="0"/>
          <w:sz w:val="32"/>
          <w:szCs w:val="32"/>
          <w14:textFill>
            <w14:solidFill>
              <w14:schemeClr w14:val="tx1"/>
            </w14:solidFill>
          </w14:textFill>
        </w:rPr>
        <w:t>应能力。</w:t>
      </w:r>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1.5.2快速反应，科学处置、资源共享、保障有力。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充分发挥专家队伍及专业处置工作组的作用，加强信息分析研判，采取科学、有效的技术手段进行应急处置。第一时间掌握突发环境事件应急处置技能，全面提高快速反应能力。现场应急指挥部应进行先期处置，控制事态，减轻危害，并将处置情况及时报告应急指挥部；建立各组之间的信息收集与信息共享机制，建立城厢区集中式饮用水源地应急物资储备库，实现资源共享，强化应急后勤保障，合理调配应急物资和应急装备，落实通讯与信息、应急队伍、应急经费、应急资源、备用水源等应急保障，增强应对突发环境事件的应急处理能力。</w:t>
      </w:r>
    </w:p>
    <w:p>
      <w:pPr>
        <w:adjustRightInd w:val="0"/>
        <w:snapToGrid w:val="0"/>
        <w:spacing w:line="324" w:lineRule="auto"/>
        <w:outlineLvl w:val="0"/>
        <w:rPr>
          <w:rFonts w:ascii="Calibri" w:hAnsi="Calibri" w:eastAsia="黑体"/>
          <w:bCs/>
          <w:color w:val="000000" w:themeColor="text1"/>
          <w:sz w:val="32"/>
          <w:szCs w:val="32"/>
          <w14:textFill>
            <w14:solidFill>
              <w14:schemeClr w14:val="tx1"/>
            </w14:solidFill>
          </w14:textFill>
        </w:rPr>
      </w:pPr>
      <w:bookmarkStart w:id="165" w:name="_Toc13565"/>
      <w:r>
        <w:rPr>
          <w:rFonts w:hint="eastAsia" w:ascii="Calibri" w:hAnsi="Calibri" w:eastAsia="黑体"/>
          <w:bCs/>
          <w:color w:val="000000" w:themeColor="text1"/>
          <w:sz w:val="32"/>
          <w:szCs w:val="32"/>
          <w14:textFill>
            <w14:solidFill>
              <w14:schemeClr w14:val="tx1"/>
            </w14:solidFill>
          </w14:textFill>
        </w:rPr>
        <w:t>2应急组织</w:t>
      </w:r>
      <w:bookmarkEnd w:id="150"/>
      <w:r>
        <w:rPr>
          <w:rFonts w:hint="eastAsia" w:ascii="Calibri" w:hAnsi="Calibri" w:eastAsia="黑体"/>
          <w:bCs/>
          <w:color w:val="000000" w:themeColor="text1"/>
          <w:sz w:val="32"/>
          <w:szCs w:val="32"/>
          <w14:textFill>
            <w14:solidFill>
              <w14:schemeClr w14:val="tx1"/>
            </w14:solidFill>
          </w14:textFill>
        </w:rPr>
        <w:t>指挥体系</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166" w:name="_Toc486519941"/>
      <w:bookmarkStart w:id="167" w:name="_Toc523220079"/>
      <w:bookmarkStart w:id="168" w:name="_Toc529453106"/>
      <w:bookmarkStart w:id="169" w:name="_Toc527026539"/>
      <w:bookmarkStart w:id="170" w:name="_Toc523223348"/>
      <w:bookmarkStart w:id="171" w:name="_Toc529453260"/>
      <w:bookmarkStart w:id="172" w:name="_Toc523153510"/>
      <w:bookmarkStart w:id="173" w:name="_Toc523223888"/>
      <w:bookmarkStart w:id="174" w:name="_Toc522893231"/>
      <w:bookmarkStart w:id="175" w:name="_Toc523219589"/>
      <w:bookmarkStart w:id="176" w:name="_Toc528234242"/>
      <w:bookmarkStart w:id="177" w:name="_Toc24831"/>
      <w:bookmarkStart w:id="178" w:name="_Toc523219300"/>
      <w:bookmarkStart w:id="179" w:name="_Toc13552"/>
      <w:r>
        <w:rPr>
          <w:rFonts w:eastAsia="仿宋"/>
          <w:color w:val="000000" w:themeColor="text1"/>
          <w:kern w:val="0"/>
          <w:sz w:val="32"/>
          <w:szCs w:val="32"/>
          <w14:textFill>
            <w14:solidFill>
              <w14:schemeClr w14:val="tx1"/>
            </w14:solidFill>
          </w14:textFill>
        </w:rPr>
        <w:t>城厢区集中式饮用水源地突发环境事件应急处置组织体系由城厢区集中式饮用水源地突发环境事件应急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（简称“</w:t>
      </w: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”）、集中式饮用水源地突发环境事件应急办公室</w:t>
      </w:r>
      <w:r>
        <w:rPr>
          <w:rFonts w:hint="eastAsia" w:eastAsia="仿宋"/>
          <w:color w:val="000000" w:themeColor="text1"/>
          <w:kern w:val="0"/>
          <w:sz w:val="32"/>
          <w:szCs w:val="32"/>
          <w14:textFill>
            <w14:solidFill>
              <w14:schemeClr w14:val="tx1"/>
            </w14:solidFill>
          </w14:textFill>
        </w:rPr>
        <w:t>（以下简称为区饮用水源地应急办）、</w:t>
      </w:r>
      <w:r>
        <w:rPr>
          <w:rFonts w:eastAsia="仿宋"/>
          <w:color w:val="000000" w:themeColor="text1"/>
          <w:kern w:val="0"/>
          <w:sz w:val="32"/>
          <w:szCs w:val="32"/>
          <w14:textFill>
            <w14:solidFill>
              <w14:schemeClr w14:val="tx1"/>
            </w14:solidFill>
          </w14:textFill>
        </w:rPr>
        <w:t>现场应急救援指挥部构成。现场应急救援指挥部由领导机构、工作机构、</w:t>
      </w:r>
      <w:r>
        <w:rPr>
          <w:rFonts w:hint="eastAsia" w:eastAsia="仿宋"/>
          <w:color w:val="000000" w:themeColor="text1"/>
          <w:kern w:val="0"/>
          <w:sz w:val="32"/>
          <w:szCs w:val="32"/>
          <w14:textFill>
            <w14:solidFill>
              <w14:schemeClr w14:val="tx1"/>
            </w14:solidFill>
          </w14:textFill>
        </w:rPr>
        <w:t>事发地镇政府</w:t>
      </w:r>
      <w:r>
        <w:rPr>
          <w:rFonts w:eastAsia="仿宋"/>
          <w:color w:val="000000" w:themeColor="text1"/>
          <w:kern w:val="0"/>
          <w:sz w:val="32"/>
          <w:szCs w:val="32"/>
          <w14:textFill>
            <w14:solidFill>
              <w14:schemeClr w14:val="tx1"/>
            </w14:solidFill>
          </w14:textFill>
        </w:rPr>
        <w:t>、环境应急专家组、污染事故发生单位等组成并形成应急联动体系。各饮用水源地管理单位成立应急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，并受区饮用水源地环境应急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统一领导。</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城厢区集中式饮用水源地突发环境事件的应急处置工作受区环境应急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统一领导。区直有关部门按照各自职责做好集中式饮用水源地突发环境事件应急保障工作。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80" w:name="_Toc6889"/>
      <w:bookmarkStart w:id="181" w:name="_Toc15977"/>
      <w:r>
        <w:rPr>
          <w:rFonts w:hint="eastAsia" w:eastAsia="仿宋"/>
          <w:b/>
          <w:color w:val="000000" w:themeColor="text1"/>
          <w:sz w:val="32"/>
          <w:szCs w:val="32"/>
          <w14:textFill>
            <w14:solidFill>
              <w14:schemeClr w14:val="tx1"/>
            </w14:solidFill>
          </w14:textFill>
        </w:rPr>
        <w:t>2.1应急组织指挥</w:t>
      </w:r>
      <w:bookmarkEnd w:id="166"/>
      <w:r>
        <w:rPr>
          <w:rFonts w:hint="eastAsia" w:eastAsia="仿宋"/>
          <w:b/>
          <w:color w:val="000000" w:themeColor="text1"/>
          <w:sz w:val="32"/>
          <w:szCs w:val="32"/>
          <w14:textFill>
            <w14:solidFill>
              <w14:schemeClr w14:val="tx1"/>
            </w14:solidFill>
          </w14:textFill>
        </w:rPr>
        <w:t>机构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作为城厢区集中式饮用水源地突发环境事件的指挥和协调机构。区政府分管环保副区长任</w:t>
      </w:r>
      <w:r>
        <w:rPr>
          <w:rFonts w:hint="eastAsia" w:eastAsia="仿宋"/>
          <w:color w:val="000000" w:themeColor="text1"/>
          <w:kern w:val="0"/>
          <w:sz w:val="32"/>
          <w:szCs w:val="32"/>
          <w14:textFill>
            <w14:solidFill>
              <w14:schemeClr w14:val="tx1"/>
            </w14:solidFill>
          </w14:textFill>
        </w:rPr>
        <w:t>总指挥</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区生态环境局</w:t>
      </w:r>
      <w:r>
        <w:rPr>
          <w:rFonts w:eastAsia="仿宋"/>
          <w:color w:val="000000" w:themeColor="text1"/>
          <w:kern w:val="0"/>
          <w:sz w:val="32"/>
          <w:szCs w:val="32"/>
          <w14:textFill>
            <w14:solidFill>
              <w14:schemeClr w14:val="tx1"/>
            </w14:solidFill>
          </w14:textFill>
        </w:rPr>
        <w:t>局长、</w:t>
      </w:r>
      <w:r>
        <w:rPr>
          <w:rFonts w:hint="eastAsia" w:eastAsia="仿宋"/>
          <w:color w:val="000000" w:themeColor="text1"/>
          <w:kern w:val="0"/>
          <w:sz w:val="32"/>
          <w:szCs w:val="32"/>
          <w14:textFill>
            <w14:solidFill>
              <w14:schemeClr w14:val="tx1"/>
            </w14:solidFill>
          </w14:textFill>
        </w:rPr>
        <w:t>区水利局</w:t>
      </w:r>
      <w:r>
        <w:rPr>
          <w:rFonts w:eastAsia="仿宋"/>
          <w:color w:val="000000" w:themeColor="text1"/>
          <w:kern w:val="0"/>
          <w:sz w:val="32"/>
          <w:szCs w:val="32"/>
          <w14:textFill>
            <w14:solidFill>
              <w14:schemeClr w14:val="tx1"/>
            </w14:solidFill>
          </w14:textFill>
        </w:rPr>
        <w:t>局长及</w:t>
      </w:r>
      <w:r>
        <w:rPr>
          <w:rFonts w:hint="eastAsia" w:eastAsia="仿宋"/>
          <w:color w:val="000000" w:themeColor="text1"/>
          <w:kern w:val="0"/>
          <w:sz w:val="32"/>
          <w:szCs w:val="32"/>
          <w14:textFill>
            <w14:solidFill>
              <w14:schemeClr w14:val="tx1"/>
            </w14:solidFill>
          </w14:textFill>
        </w:rPr>
        <w:t>区府办副主任</w:t>
      </w:r>
      <w:r>
        <w:rPr>
          <w:rFonts w:eastAsia="仿宋"/>
          <w:color w:val="000000" w:themeColor="text1"/>
          <w:kern w:val="0"/>
          <w:sz w:val="32"/>
          <w:szCs w:val="32"/>
          <w14:textFill>
            <w14:solidFill>
              <w14:schemeClr w14:val="tx1"/>
            </w14:solidFill>
          </w14:textFill>
        </w:rPr>
        <w:t>任副</w:t>
      </w:r>
      <w:r>
        <w:rPr>
          <w:rFonts w:hint="eastAsia" w:eastAsia="仿宋"/>
          <w:color w:val="000000" w:themeColor="text1"/>
          <w:kern w:val="0"/>
          <w:sz w:val="32"/>
          <w:szCs w:val="32"/>
          <w14:textFill>
            <w14:solidFill>
              <w14:schemeClr w14:val="tx1"/>
            </w14:solidFill>
          </w14:textFill>
        </w:rPr>
        <w:t>总指挥</w:t>
      </w:r>
      <w:r>
        <w:rPr>
          <w:rFonts w:eastAsia="仿宋"/>
          <w:color w:val="000000" w:themeColor="text1"/>
          <w:kern w:val="0"/>
          <w:sz w:val="32"/>
          <w:szCs w:val="32"/>
          <w14:textFill>
            <w14:solidFill>
              <w14:schemeClr w14:val="tx1"/>
            </w14:solidFill>
          </w14:textFill>
        </w:rPr>
        <w:t>。</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成员：区府办、</w:t>
      </w:r>
      <w:r>
        <w:rPr>
          <w:rFonts w:hint="eastAsia" w:eastAsia="仿宋"/>
          <w:color w:val="000000" w:themeColor="text1"/>
          <w:kern w:val="0"/>
          <w:sz w:val="32"/>
          <w:szCs w:val="32"/>
          <w14:textFill>
            <w14:solidFill>
              <w14:schemeClr w14:val="tx1"/>
            </w14:solidFill>
          </w14:textFill>
        </w:rPr>
        <w:t>区委宣传部、区生态环境局、区水利局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交通运输局、</w:t>
      </w:r>
      <w:r>
        <w:rPr>
          <w:rFonts w:hint="eastAsia" w:eastAsia="仿宋"/>
          <w:color w:val="000000" w:themeColor="text1"/>
          <w:kern w:val="0"/>
          <w:sz w:val="32"/>
          <w:szCs w:val="32"/>
          <w14:textFill>
            <w14:solidFill>
              <w14:schemeClr w14:val="tx1"/>
            </w14:solidFill>
          </w14:textFill>
        </w:rPr>
        <w:t>区应急管理局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lang w:val="en-US" w:eastAsia="zh-CN"/>
          <w14:textFill>
            <w14:solidFill>
              <w14:schemeClr w14:val="tx1"/>
            </w14:solidFill>
          </w14:textFill>
        </w:rPr>
        <w:t>区消防大队、</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公安分局、</w:t>
      </w:r>
      <w:r>
        <w:rPr>
          <w:rFonts w:hint="eastAsia" w:eastAsia="仿宋"/>
          <w:color w:val="000000" w:themeColor="text1"/>
          <w:kern w:val="0"/>
          <w:sz w:val="32"/>
          <w:szCs w:val="32"/>
          <w14:textFill>
            <w14:solidFill>
              <w14:schemeClr w14:val="tx1"/>
            </w14:solidFill>
          </w14:textFill>
        </w:rPr>
        <w:t>区住房和城乡建设局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环卫处、</w:t>
      </w:r>
      <w:r>
        <w:rPr>
          <w:rFonts w:hint="eastAsia" w:eastAsia="仿宋"/>
          <w:color w:val="000000" w:themeColor="text1"/>
          <w:kern w:val="0"/>
          <w:sz w:val="32"/>
          <w:szCs w:val="32"/>
          <w14:textFill>
            <w14:solidFill>
              <w14:schemeClr w14:val="tx1"/>
            </w14:solidFill>
          </w14:textFill>
        </w:rPr>
        <w:t>区农业农村局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财政局、</w:t>
      </w:r>
      <w:r>
        <w:rPr>
          <w:rFonts w:hint="eastAsia" w:eastAsia="仿宋"/>
          <w:color w:val="000000" w:themeColor="text1"/>
          <w:kern w:val="0"/>
          <w:sz w:val="32"/>
          <w:szCs w:val="32"/>
          <w14:textFill>
            <w14:solidFill>
              <w14:schemeClr w14:val="tx1"/>
            </w14:solidFill>
          </w14:textFill>
        </w:rPr>
        <w:t>区卫生健康局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气象局、</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民政局、</w:t>
      </w:r>
      <w:r>
        <w:rPr>
          <w:rFonts w:hint="eastAsia" w:eastAsia="仿宋"/>
          <w:color w:val="000000" w:themeColor="text1"/>
          <w:kern w:val="0"/>
          <w:sz w:val="32"/>
          <w:szCs w:val="32"/>
          <w:lang w:val="en-US" w:eastAsia="zh-CN"/>
          <w14:textFill>
            <w14:solidFill>
              <w14:schemeClr w14:val="tx1"/>
            </w14:solidFill>
          </w14:textFill>
        </w:rPr>
        <w:t>区自然资源局、</w:t>
      </w:r>
      <w:r>
        <w:rPr>
          <w:rFonts w:eastAsia="仿宋"/>
          <w:color w:val="000000" w:themeColor="text1"/>
          <w:kern w:val="0"/>
          <w:sz w:val="32"/>
          <w:szCs w:val="32"/>
          <w14:textFill>
            <w14:solidFill>
              <w14:schemeClr w14:val="tx1"/>
            </w14:solidFill>
          </w14:textFill>
        </w:rPr>
        <w:t>华亭镇、常太镇、灵川镇、东海镇等相关单位为成员单位。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区饮用水源地应急指挥部下设区饮用水源地应急办，挂靠在区生态环境局，区生态环境局分管副局长兼任办公室主任。</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区饮用水源地应急指挥部相关人员、职责、联系方式详见附件1。</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82" w:name="_Toc523153511"/>
      <w:bookmarkStart w:id="183" w:name="_Toc29979"/>
      <w:bookmarkStart w:id="184" w:name="_Toc523223349"/>
      <w:bookmarkStart w:id="185" w:name="_Toc30841"/>
      <w:bookmarkStart w:id="186" w:name="_Toc523223889"/>
      <w:bookmarkStart w:id="187" w:name="_Toc523220080"/>
      <w:bookmarkStart w:id="188" w:name="_Toc529453261"/>
      <w:bookmarkStart w:id="189" w:name="_Toc529453107"/>
      <w:bookmarkStart w:id="190" w:name="_Toc527026540"/>
      <w:bookmarkStart w:id="191" w:name="_Toc21906"/>
      <w:bookmarkStart w:id="192" w:name="_Toc528234243"/>
      <w:bookmarkStart w:id="193" w:name="_Toc523219301"/>
      <w:bookmarkStart w:id="194" w:name="_Toc523219590"/>
      <w:bookmarkStart w:id="195" w:name="_Toc522893232"/>
      <w:bookmarkStart w:id="196" w:name="_Toc2357"/>
      <w:r>
        <w:rPr>
          <w:rFonts w:hint="eastAsia" w:eastAsia="仿宋"/>
          <w:b/>
          <w:color w:val="000000" w:themeColor="text1"/>
          <w:sz w:val="32"/>
          <w:szCs w:val="32"/>
          <w14:textFill>
            <w14:solidFill>
              <w14:schemeClr w14:val="tx1"/>
            </w14:solidFill>
          </w14:textFill>
        </w:rPr>
        <w:t>2.2现场应急指挥部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信息研判和会商判断水源地水质可能受影响时或事件发生后，区饮用水源地应急指挥部根据事件发展态势及应急响应的工作需要设立现场应急指挥部，负责现场指挥工作。区饮用水源地应急指挥部根据不同突发环境事件情景，在应急组织指挥机构中选择有直接关系的部门和单位成立现场应急指挥部。现场应急指挥部作为现场应急指挥机构，在区饮用水源地应急指挥部的领导下，全面负责指挥、组织和协调水源地突发环境事件的应急响应工作。现场应急指挥部的指挥长，由区饮用水源地应急指挥部总指挥指定。现场应急指挥部成员，由区饮用水源地应急指挥部各成员单位有关人员组成。所有参与应急救援的队伍和人员必须服从现场应急指挥部的指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现场应急指挥部主要职责：</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（1）执行区饮用水源地应急指挥部各项应急指令；</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（2）研判事件性质及危害程度，组织制定现场应急救援方案并实施应急处置，控制、消除危害影响；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（3）向区饮用水源地应急指挥部报告现场应急响应和救援进展情况，为区饮用水源地应急指挥部决策提供实时信息和数据；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（4）向区饮用水源地应急指挥部提出现场应急结束的建议，经区饮用水源地应急指挥部同意后宣布现场应急结束。</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97" w:name="_Toc523220081"/>
      <w:bookmarkStart w:id="198" w:name="_Toc7038"/>
      <w:bookmarkStart w:id="199" w:name="_Toc523223890"/>
      <w:bookmarkStart w:id="200" w:name="_Toc32035"/>
      <w:bookmarkStart w:id="201" w:name="_Toc528234244"/>
      <w:bookmarkStart w:id="202" w:name="_Toc9582"/>
      <w:bookmarkStart w:id="203" w:name="_Toc529453262"/>
      <w:bookmarkStart w:id="204" w:name="_Toc529453108"/>
      <w:bookmarkStart w:id="205" w:name="_Toc523219591"/>
      <w:bookmarkStart w:id="206" w:name="_Toc23699"/>
      <w:bookmarkStart w:id="207" w:name="_Toc523219302"/>
      <w:bookmarkStart w:id="208" w:name="_Toc523153512"/>
      <w:bookmarkStart w:id="209" w:name="_Toc523223350"/>
      <w:bookmarkStart w:id="210" w:name="_Toc527026541"/>
      <w:bookmarkStart w:id="211" w:name="_Toc522893233"/>
      <w:r>
        <w:rPr>
          <w:rFonts w:hint="eastAsia" w:eastAsia="仿宋"/>
          <w:b/>
          <w:color w:val="000000" w:themeColor="text1"/>
          <w:sz w:val="32"/>
          <w:szCs w:val="32"/>
          <w14:textFill>
            <w14:solidFill>
              <w14:schemeClr w14:val="tx1"/>
            </w14:solidFill>
          </w14:textFill>
        </w:rPr>
        <w:t>2.3现场应急工作组</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发生后，现场应急指挥部根据事件现场实际情况成立现场应急工作组，工作组包括应急处置组、应急监测组、应急供水保障组、应急物资保障组、应急专家组、综合组等，各工作组组成、职责分工和人员名单见附件2。</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城厢区水源地突发环境事件应急组织指挥体系框架图见附件3。</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不同类型突发环境事件现场应急指挥部及应急工作组组成见附件4。</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212" w:name="_Toc529453263"/>
      <w:bookmarkStart w:id="213" w:name="_Toc523219303"/>
      <w:bookmarkStart w:id="214" w:name="_Toc523220082"/>
      <w:bookmarkStart w:id="215" w:name="_Toc523153513"/>
      <w:bookmarkStart w:id="216" w:name="_Toc527026542"/>
      <w:bookmarkStart w:id="217" w:name="_Toc528234245"/>
      <w:bookmarkStart w:id="218" w:name="_Toc529453109"/>
      <w:bookmarkStart w:id="219" w:name="_Toc13877"/>
      <w:bookmarkStart w:id="220" w:name="_Toc11648"/>
      <w:bookmarkStart w:id="221" w:name="_Toc18331"/>
      <w:bookmarkStart w:id="222" w:name="_Toc523219592"/>
      <w:bookmarkStart w:id="223" w:name="_Toc523223891"/>
      <w:bookmarkStart w:id="224" w:name="_Toc523223351"/>
      <w:bookmarkStart w:id="225" w:name="_Toc522893234"/>
      <w:bookmarkStart w:id="226" w:name="_Toc29889"/>
      <w:r>
        <w:rPr>
          <w:rFonts w:hint="eastAsia" w:eastAsia="黑体"/>
          <w:bCs/>
          <w:color w:val="000000" w:themeColor="text1"/>
          <w:sz w:val="32"/>
          <w:szCs w:val="32"/>
          <w14:textFill>
            <w14:solidFill>
              <w14:schemeClr w14:val="tx1"/>
            </w14:solidFill>
          </w14:textFill>
        </w:rPr>
        <w:t>3应急响应</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城厢区水源地突发环境事件应急响应流程图见附件5。</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227" w:name="_Toc523223352"/>
      <w:bookmarkStart w:id="228" w:name="_Toc527026543"/>
      <w:bookmarkStart w:id="229" w:name="_Toc529453264"/>
      <w:bookmarkStart w:id="230" w:name="_Toc523220083"/>
      <w:bookmarkStart w:id="231" w:name="_Toc529453110"/>
      <w:bookmarkStart w:id="232" w:name="_Toc523153514"/>
      <w:bookmarkStart w:id="233" w:name="_Toc522893235"/>
      <w:bookmarkStart w:id="234" w:name="_Toc8220"/>
      <w:bookmarkStart w:id="235" w:name="_Toc523219593"/>
      <w:bookmarkStart w:id="236" w:name="_Toc523223892"/>
      <w:bookmarkStart w:id="237" w:name="_Toc523219304"/>
      <w:bookmarkStart w:id="238" w:name="_Toc528234246"/>
      <w:bookmarkStart w:id="239" w:name="_Toc30394"/>
      <w:bookmarkStart w:id="240" w:name="_Toc9217"/>
      <w:bookmarkStart w:id="241" w:name="_Toc8482"/>
      <w:r>
        <w:rPr>
          <w:rFonts w:hint="eastAsia" w:eastAsia="仿宋"/>
          <w:b/>
          <w:color w:val="000000" w:themeColor="text1"/>
          <w:sz w:val="32"/>
          <w:szCs w:val="32"/>
          <w14:textFill>
            <w14:solidFill>
              <w14:schemeClr w14:val="tx1"/>
            </w14:solidFill>
          </w14:textFill>
        </w:rPr>
        <w:t>3.1信息收集和研判</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42" w:name="_Toc9456"/>
      <w:bookmarkStart w:id="243" w:name="_Toc2113"/>
      <w:bookmarkStart w:id="244" w:name="_Toc504046361"/>
      <w:bookmarkStart w:id="245" w:name="_Toc14517"/>
      <w:bookmarkStart w:id="246" w:name="_Toc16654"/>
      <w:bookmarkStart w:id="247" w:name="_Toc523153515"/>
      <w:bookmarkStart w:id="248" w:name="_Toc1043"/>
      <w:bookmarkStart w:id="249" w:name="_Toc523220084"/>
      <w:bookmarkStart w:id="250" w:name="_Toc518463473"/>
      <w:bookmarkStart w:id="251" w:name="_Toc527026544"/>
      <w:bookmarkStart w:id="252" w:name="_Toc31475"/>
      <w:r>
        <w:rPr>
          <w:rFonts w:hint="eastAsia" w:eastAsia="仿宋"/>
          <w:b/>
          <w:color w:val="000000" w:themeColor="text1"/>
          <w:sz w:val="32"/>
          <w:szCs w:val="32"/>
          <w14:textFill>
            <w14:solidFill>
              <w14:schemeClr w14:val="tx1"/>
            </w14:solidFill>
          </w14:textFill>
        </w:rPr>
        <w:t>3.1.1</w:t>
      </w:r>
      <w:bookmarkEnd w:id="242"/>
      <w:bookmarkEnd w:id="243"/>
      <w:bookmarkEnd w:id="244"/>
      <w:r>
        <w:rPr>
          <w:rFonts w:hint="eastAsia" w:eastAsia="仿宋"/>
          <w:b/>
          <w:color w:val="000000" w:themeColor="text1"/>
          <w:sz w:val="32"/>
          <w:szCs w:val="32"/>
          <w14:textFill>
            <w14:solidFill>
              <w14:schemeClr w14:val="tx1"/>
            </w14:solidFill>
          </w14:textFill>
        </w:rPr>
        <w:t>信息收集</w:t>
      </w:r>
      <w:bookmarkEnd w:id="245"/>
      <w:bookmarkEnd w:id="246"/>
      <w:bookmarkEnd w:id="247"/>
      <w:bookmarkEnd w:id="248"/>
      <w:bookmarkEnd w:id="249"/>
      <w:bookmarkEnd w:id="250"/>
      <w:bookmarkEnd w:id="251"/>
      <w:bookmarkEnd w:id="25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有关成员单位等各相关部门要开展环境信息、自然灾害预警信息、常规环境监测数据的综合分析和风险评估工作。各相关部门按照各自职责收集和传递我区水源地突发环境事件（地域范围为水源地一、二级保护区范围内）的信息，并及时将相关信息通报区饮用水源地应急办。区饮用水源地应急指挥部根据事态发展，必要时，及时组织专家研究，提出意见报区政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（1）区生态环境局、区水利局负责水源地突发环境事件信息的监控和传递工作。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（2）区公安局、区交通运输局负责交通事故引发水源地突发环境事件信息的监控和传递工作。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（3）区应急管理局负责生产安全事故、自然灾害引发水源地突发环境事件信息的监控和传递工作。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（4）各水源地管理单位负责水源地保护的日常巡查和监管，做好突发环境事件信息的监控和传递工作。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（5）任何部门、单位或公民一旦发现水源地污染事故或接到污染事故报告后，应当立即拨打24小时值班电话12369。</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本级政府不同部门之间应建立信息收集与共享渠道，获取突发环境事件信息。信息来源包括但不限于以下途径：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水源地所属行政区域的生态环境局、水利局、卫生健康局、各镇政府、自来水厂等部门，应通过流域、水源地或供水单位开展的水质监督性监测（常规断面）、东圳水库应通过在线监测（常规和预警监控断面）等日常监管渠道获取水质异常信息，应通过水文气象、地质灾害、污染源排放等信息开展水质预测预警，获取水质异常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生态环境部门应通过水源地上游及周边主要风险源监控获取异常排放信息，应通过12369热线、网络等途径获取突发环境事件信息；公安交通部门应通过交通事故报警获取流动源事故信息；水利部门应通过对湖泊（水库）藻密度变化情况的观测，获取水华事件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（3）通过本级政府不同部门之间、上下游相邻行政区域政府之间建立的信息收集与共享渠道，获取突发环境事件信息。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（4）各水源地管理单位通过日常巡查、水质监测等日常监管渠道获取水质异常信息。</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53" w:name="_Toc27008"/>
      <w:bookmarkStart w:id="254" w:name="_Toc523220085"/>
      <w:bookmarkStart w:id="255" w:name="_Toc17354"/>
      <w:bookmarkStart w:id="256" w:name="_Toc518463474"/>
      <w:bookmarkStart w:id="257" w:name="_Toc527026545"/>
      <w:bookmarkStart w:id="258" w:name="_Toc9888"/>
      <w:bookmarkStart w:id="259" w:name="_Toc523153516"/>
      <w:bookmarkStart w:id="260" w:name="_Toc19937"/>
      <w:r>
        <w:rPr>
          <w:rFonts w:hint="eastAsia" w:eastAsia="仿宋"/>
          <w:b/>
          <w:color w:val="000000" w:themeColor="text1"/>
          <w:sz w:val="32"/>
          <w:szCs w:val="32"/>
          <w14:textFill>
            <w14:solidFill>
              <w14:schemeClr w14:val="tx1"/>
            </w14:solidFill>
          </w14:textFill>
        </w:rPr>
        <w:t>3.1.2信息研判和会商</w:t>
      </w:r>
      <w:bookmarkEnd w:id="253"/>
      <w:bookmarkEnd w:id="254"/>
      <w:bookmarkEnd w:id="255"/>
      <w:bookmarkEnd w:id="256"/>
      <w:bookmarkEnd w:id="257"/>
      <w:bookmarkEnd w:id="258"/>
      <w:bookmarkEnd w:id="259"/>
      <w:bookmarkEnd w:id="26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区饮用水源地应急办负责信息核实和研判工作。通过日常监管渠道首次发现风险源或水质异常或群众举报、责任单位报告等获取突发事件信息，应第一时间开展以下工作：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（1）核实信息的真实性；</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（2）进一步收集信息，研判水质变化趋势；必要时，应根据预案情景和部门职责，及时通报有关部门共同开展信息收集工作；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（3）发现可能导致水源地突发环境事件的信息时，应及时将有关信息报告区饮用水源地应急指挥部。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接到信息报告的区饮用水源地应急指挥部应立即组织有关部门及应急专家进行会商，对收集到的信息进行筛选、评估、分析，研判水质变化趋势，提出应对方案和建议，研究决定是否发布预警信息或启动应急预案；若判断可能对水源地水质造成影响，应根据水源地突发环境事件类型选择有直接关系的部门和单位立即成立现场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城厢区水源地突发环境事件现场调查表及现场勘查图见附件6。</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261" w:name="_Toc523220086"/>
      <w:bookmarkStart w:id="262" w:name="_Toc528234247"/>
      <w:bookmarkStart w:id="263" w:name="_Toc31194"/>
      <w:bookmarkStart w:id="264" w:name="_Toc529453265"/>
      <w:bookmarkStart w:id="265" w:name="_Toc4750"/>
      <w:bookmarkStart w:id="266" w:name="_Toc522893236"/>
      <w:bookmarkStart w:id="267" w:name="_Toc523219305"/>
      <w:bookmarkStart w:id="268" w:name="_Toc523223893"/>
      <w:bookmarkStart w:id="269" w:name="_Toc527026546"/>
      <w:bookmarkStart w:id="270" w:name="_Toc529453111"/>
      <w:bookmarkStart w:id="271" w:name="_Toc12182"/>
      <w:bookmarkStart w:id="272" w:name="_Toc523223353"/>
      <w:bookmarkStart w:id="273" w:name="_Toc523153517"/>
      <w:bookmarkStart w:id="274" w:name="_Toc7974"/>
      <w:bookmarkStart w:id="275" w:name="_Toc523219594"/>
      <w:r>
        <w:rPr>
          <w:rFonts w:hint="eastAsia" w:eastAsia="仿宋"/>
          <w:b/>
          <w:color w:val="000000" w:themeColor="text1"/>
          <w:sz w:val="32"/>
          <w:szCs w:val="32"/>
          <w14:textFill>
            <w14:solidFill>
              <w14:schemeClr w14:val="tx1"/>
            </w14:solidFill>
          </w14:textFill>
        </w:rPr>
        <w:t>3.2预警</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76" w:name="_Toc1447"/>
      <w:bookmarkStart w:id="277" w:name="_Toc527026548"/>
      <w:bookmarkStart w:id="278" w:name="_Toc20677"/>
      <w:bookmarkStart w:id="279" w:name="_Toc523220088"/>
      <w:bookmarkStart w:id="280" w:name="_Toc2721"/>
      <w:bookmarkStart w:id="281" w:name="_Toc523153519"/>
      <w:r>
        <w:rPr>
          <w:rFonts w:hint="eastAsia" w:eastAsia="仿宋"/>
          <w:b/>
          <w:color w:val="000000" w:themeColor="text1"/>
          <w:sz w:val="32"/>
          <w:szCs w:val="32"/>
          <w14:textFill>
            <w14:solidFill>
              <w14:schemeClr w14:val="tx1"/>
            </w14:solidFill>
          </w14:textFill>
        </w:rPr>
        <w:t>3.2.1预警分级</w:t>
      </w:r>
      <w:bookmarkEnd w:id="276"/>
      <w:bookmarkEnd w:id="277"/>
      <w:bookmarkEnd w:id="278"/>
      <w:bookmarkEnd w:id="279"/>
      <w:bookmarkEnd w:id="280"/>
      <w:bookmarkEnd w:id="28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按照集中式饮用水源突发环境事件的紧急程度、发展态势或可能造成的危害程度，突发环境事件</w:t>
      </w:r>
      <w:r>
        <w:rPr>
          <w:rFonts w:hint="eastAsia" w:eastAsia="仿宋"/>
          <w:color w:val="000000" w:themeColor="text1"/>
          <w:kern w:val="0"/>
          <w:sz w:val="32"/>
          <w:szCs w:val="32"/>
          <w:lang w:eastAsia="zh-CN"/>
          <w14:textFill>
            <w14:solidFill>
              <w14:schemeClr w14:val="tx1"/>
            </w14:solidFill>
          </w14:textFill>
        </w:rPr>
        <w:t>预警</w:t>
      </w:r>
      <w:r>
        <w:rPr>
          <w:rFonts w:hint="eastAsia" w:eastAsia="仿宋"/>
          <w:color w:val="000000" w:themeColor="text1"/>
          <w:kern w:val="0"/>
          <w:sz w:val="32"/>
          <w:szCs w:val="32"/>
          <w14:textFill>
            <w14:solidFill>
              <w14:schemeClr w14:val="tx1"/>
            </w14:solidFill>
          </w14:textFill>
        </w:rPr>
        <w:t>分为二级，</w:t>
      </w:r>
      <w:r>
        <w:rPr>
          <w:rFonts w:hint="eastAsia" w:eastAsia="仿宋_GB2312"/>
          <w:color w:val="000000" w:themeColor="text1"/>
          <w:sz w:val="32"/>
          <w:szCs w:val="32"/>
          <w14:textFill>
            <w14:solidFill>
              <w14:schemeClr w14:val="tx1"/>
            </w14:solidFill>
          </w14:textFill>
        </w:rPr>
        <w:t>为</w:t>
      </w:r>
      <w:r>
        <w:rPr>
          <w:rFonts w:hint="eastAsia" w:ascii="宋体" w:hAnsi="宋体" w:cs="宋体"/>
          <w:color w:val="000000" w:themeColor="text1"/>
          <w:sz w:val="32"/>
          <w:szCs w:val="32"/>
          <w14:textFill>
            <w14:solidFill>
              <w14:schemeClr w14:val="tx1"/>
            </w14:solidFill>
          </w14:textFill>
        </w:rPr>
        <w:t>Ⅰ</w:t>
      </w:r>
      <w:r>
        <w:rPr>
          <w:rFonts w:hint="eastAsia" w:eastAsia="仿宋_GB2312"/>
          <w:color w:val="000000" w:themeColor="text1"/>
          <w:sz w:val="32"/>
          <w:szCs w:val="32"/>
          <w14:textFill>
            <w14:solidFill>
              <w14:schemeClr w14:val="tx1"/>
            </w14:solidFill>
          </w14:textFill>
        </w:rPr>
        <w:t>级、</w:t>
      </w:r>
      <w:r>
        <w:rPr>
          <w:rFonts w:hint="eastAsia" w:ascii="宋体" w:hAnsi="宋体" w:cs="宋体"/>
          <w:color w:val="000000" w:themeColor="text1"/>
          <w:sz w:val="32"/>
          <w:szCs w:val="32"/>
          <w14:textFill>
            <w14:solidFill>
              <w14:schemeClr w14:val="tx1"/>
            </w14:solidFill>
          </w14:textFill>
        </w:rPr>
        <w:t>Ⅱ</w:t>
      </w:r>
      <w:r>
        <w:rPr>
          <w:rFonts w:hint="eastAsia" w:eastAsia="仿宋_GB2312"/>
          <w:color w:val="000000" w:themeColor="text1"/>
          <w:sz w:val="32"/>
          <w:szCs w:val="32"/>
          <w14:textFill>
            <w14:solidFill>
              <w14:schemeClr w14:val="tx1"/>
            </w14:solidFill>
          </w14:textFill>
        </w:rPr>
        <w:t>级预警，</w:t>
      </w:r>
      <w:r>
        <w:rPr>
          <w:rFonts w:hint="eastAsia" w:eastAsia="仿宋"/>
          <w:color w:val="000000" w:themeColor="text1"/>
          <w:kern w:val="0"/>
          <w:sz w:val="32"/>
          <w:szCs w:val="32"/>
          <w14:textFill>
            <w14:solidFill>
              <w14:schemeClr w14:val="tx1"/>
            </w14:solidFill>
          </w14:textFill>
        </w:rPr>
        <w:t>预警级别由低到高，颜色依次为橙色、红色。</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橙色预警：当突发环境事件排放的污染物迁移至水源地应急预案适用的地域范围，但水源保护区或其连接水体尚未受到污染，或是污染物已进入水源保护区上游连接水体（外度水库），但应急专家组研判认为对水源地水质影响可能较小、可能不影响取水时，为橙色</w:t>
      </w:r>
      <w:r>
        <w:rPr>
          <w:rFonts w:hint="eastAsia" w:eastAsia="仿宋_GB2312"/>
          <w:color w:val="000000" w:themeColor="text1"/>
          <w:sz w:val="32"/>
          <w:szCs w:val="32"/>
          <w14:textFill>
            <w14:solidFill>
              <w14:schemeClr w14:val="tx1"/>
            </w14:solidFill>
          </w14:textFill>
        </w:rPr>
        <w:t>（Ⅱ级）</w:t>
      </w:r>
      <w:r>
        <w:rPr>
          <w:rFonts w:hint="eastAsia" w:eastAsia="仿宋"/>
          <w:color w:val="000000" w:themeColor="text1"/>
          <w:kern w:val="0"/>
          <w:sz w:val="32"/>
          <w:szCs w:val="32"/>
          <w14:textFill>
            <w14:solidFill>
              <w14:schemeClr w14:val="tx1"/>
            </w14:solidFill>
          </w14:textFill>
        </w:rPr>
        <w:t>预警；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红色预警：当污染物已进入（或出现在）水源保护区或其上游连接水体（外度水库），且应急专家组研判认为对水源地水质影响可能较大、可能影响取水时，为红色</w:t>
      </w:r>
      <w:r>
        <w:rPr>
          <w:rFonts w:hint="eastAsia" w:eastAsia="仿宋_GB2312"/>
          <w:color w:val="000000" w:themeColor="text1"/>
          <w:sz w:val="32"/>
          <w:szCs w:val="32"/>
          <w14:textFill>
            <w14:solidFill>
              <w14:schemeClr w14:val="tx1"/>
            </w14:solidFill>
          </w14:textFill>
        </w:rPr>
        <w:t>（Ⅰ级）</w:t>
      </w:r>
      <w:r>
        <w:rPr>
          <w:rFonts w:hint="eastAsia" w:eastAsia="仿宋"/>
          <w:color w:val="000000" w:themeColor="text1"/>
          <w:kern w:val="0"/>
          <w:sz w:val="32"/>
          <w:szCs w:val="32"/>
          <w14:textFill>
            <w14:solidFill>
              <w14:schemeClr w14:val="tx1"/>
            </w14:solidFill>
          </w14:textFill>
        </w:rPr>
        <w:t>预警。预警级别由应急专家组提出建议，区饮用水源地应急指挥部确定。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发布橙色预警时，仅采取预警行动；发布红色预警时，在采取预警行动的同时，应启动应急措施。</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82" w:name="_Toc523153520"/>
      <w:bookmarkStart w:id="283" w:name="_Toc28395"/>
      <w:bookmarkStart w:id="284" w:name="_Toc12341"/>
      <w:bookmarkStart w:id="285" w:name="_Toc9541"/>
      <w:bookmarkStart w:id="286" w:name="_Toc523220089"/>
      <w:bookmarkStart w:id="287" w:name="_Toc527026549"/>
      <w:bookmarkStart w:id="288" w:name="_Toc518463477"/>
      <w:r>
        <w:rPr>
          <w:rFonts w:hint="eastAsia" w:eastAsia="仿宋"/>
          <w:b/>
          <w:color w:val="000000" w:themeColor="text1"/>
          <w:sz w:val="32"/>
          <w:szCs w:val="32"/>
          <w14:textFill>
            <w14:solidFill>
              <w14:schemeClr w14:val="tx1"/>
            </w14:solidFill>
          </w14:textFill>
        </w:rPr>
        <w:t>3.2.2预警的启动条件</w:t>
      </w:r>
      <w:bookmarkEnd w:id="282"/>
      <w:bookmarkEnd w:id="283"/>
      <w:bookmarkEnd w:id="284"/>
      <w:bookmarkEnd w:id="285"/>
      <w:bookmarkEnd w:id="286"/>
      <w:bookmarkEnd w:id="287"/>
      <w:bookmarkEnd w:id="28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根据信息获取方式，综合考虑突发事件类型、发生地点、污染物质种类和数量等情况，橙色、红色预警的启动条件如下：</w:t>
      </w:r>
      <w:bookmarkStart w:id="289" w:name="_Toc3662"/>
      <w:bookmarkStart w:id="290" w:name="_Toc518463478"/>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3.2.2.1</w:t>
      </w:r>
      <w:r>
        <w:rPr>
          <w:rFonts w:hint="eastAsia" w:cs="宋体"/>
          <w:b/>
          <w:bCs/>
          <w:color w:val="000000" w:themeColor="text1"/>
          <w:sz w:val="32"/>
          <w:szCs w:val="32"/>
          <w14:textFill>
            <w14:solidFill>
              <w14:schemeClr w14:val="tx1"/>
            </w14:solidFill>
          </w14:textFill>
        </w:rPr>
        <w:t>橙色预警</w:t>
      </w:r>
      <w:bookmarkEnd w:id="289"/>
      <w:bookmarkEnd w:id="29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下列情形均可作为橙色预警启动条件。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（1）通过信息报告发现，在一级、二级保护区内可能由于自然灾害引发水源地发生突发环境事件。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（2）通过信息报告发现，在二级保护区上游汇水区域内发生固定源或流动源突发环境事件，或污染物已扩散至距水源保护区上游连接水体（外度水库）的直线距离超过200米的陆域或水域。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（3）通过信息报告发现，在二级保护区内水源水质和二级保护区上游汇水区域水体水质有发生水华灾害事件的趋势。</w:t>
      </w:r>
      <w:bookmarkStart w:id="291" w:name="_Toc518463479"/>
      <w:bookmarkStart w:id="292" w:name="_Toc12939"/>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3.2.2.2红色预警</w:t>
      </w:r>
      <w:bookmarkEnd w:id="291"/>
      <w:bookmarkEnd w:id="29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下列情形均可作为红色预警启动条件。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（1）通过信息报告发现，在一级、二级保护区内发生突发环境事件。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（2）通过信息报告发现，在二级保护区上游汇水区域范围内发生固定源或流动源突发环境事件，或污染物已扩散至距水源保护区上游连接水体（外度水库）的直线距离不足100米的陆域或水域。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信息报告发现，在二级保护区上游汇水区域范围内发生固定源或流动源突发环境事件，或污染物已扩散至距水源保护区上游连接水体（外度水库）的直线距离不足200米的陆域或水域，经水质监测和信息研判，判断污染物迁移至取水口位置时，相应指标浓度仍会超标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（4）通过监测发现，水源保护区或其上游连接水体（外度水库）理化指标异常。</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①在二级保护区内，出现自动站水质监测指标超标或生物综合毒性异常，经实验室监（复）测确认的；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②在二级保护区上游汇水区域范围内，出现水质监测指标、有毒有害物质或生物综合毒性异常，且污染物浓度持续升高的；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③在二级保护区上游汇水区域范围内，出现水质监测指标、有毒有害物质或生物综合毒性异常的。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（5）通过监测发现，水源保护区或其上游连接水体（外度水库）感官性状异常，即水体出现异常颜色或气味的。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（6）通过</w:t>
      </w:r>
      <w:r>
        <w:rPr>
          <w:rFonts w:hint="eastAsia" w:eastAsia="仿宋"/>
          <w:color w:val="000000" w:themeColor="text1"/>
          <w:kern w:val="0"/>
          <w:sz w:val="32"/>
          <w:szCs w:val="32"/>
          <w:lang w:eastAsia="zh-CN"/>
          <w14:textFill>
            <w14:solidFill>
              <w14:schemeClr w14:val="tx1"/>
            </w14:solidFill>
          </w14:textFill>
        </w:rPr>
        <w:t>巡查、</w:t>
      </w:r>
      <w:r>
        <w:rPr>
          <w:rFonts w:hint="eastAsia" w:eastAsia="仿宋"/>
          <w:color w:val="000000" w:themeColor="text1"/>
          <w:kern w:val="0"/>
          <w:sz w:val="32"/>
          <w:szCs w:val="32"/>
          <w14:textFill>
            <w14:solidFill>
              <w14:schemeClr w14:val="tx1"/>
            </w14:solidFill>
          </w14:textFill>
        </w:rPr>
        <w:t>监测发现，水源保护区或其上游连接水体（外度水库）生态指标异常，即水面出现大面积死鱼或生物综合毒性异常并经实验室监测后确认的。</w:t>
      </w:r>
    </w:p>
    <w:p>
      <w:pPr>
        <w:widowControl/>
        <w:adjustRightInd w:val="0"/>
        <w:snapToGrid w:val="0"/>
        <w:spacing w:line="360" w:lineRule="auto"/>
        <w:jc w:val="left"/>
        <w:outlineLvl w:val="2"/>
        <w:rPr>
          <w:rFonts w:eastAsia="仿宋"/>
          <w:b/>
          <w:color w:val="000000" w:themeColor="text1"/>
          <w:sz w:val="32"/>
          <w:szCs w:val="32"/>
          <w14:textFill>
            <w14:solidFill>
              <w14:schemeClr w14:val="tx1"/>
            </w14:solidFill>
          </w14:textFill>
        </w:rPr>
      </w:pPr>
      <w:bookmarkStart w:id="293" w:name="_Toc12027"/>
      <w:bookmarkStart w:id="294" w:name="_Toc523220090"/>
      <w:bookmarkStart w:id="295" w:name="_Toc527026550"/>
      <w:bookmarkStart w:id="296" w:name="_Toc7226"/>
      <w:bookmarkStart w:id="297" w:name="_Toc523153521"/>
      <w:bookmarkStart w:id="298" w:name="_Toc3914"/>
      <w:bookmarkStart w:id="299" w:name="_Toc518463480"/>
      <w:r>
        <w:rPr>
          <w:rFonts w:hint="eastAsia" w:eastAsia="仿宋"/>
          <w:b/>
          <w:color w:val="000000" w:themeColor="text1"/>
          <w:sz w:val="32"/>
          <w:szCs w:val="32"/>
          <w14:textFill>
            <w14:solidFill>
              <w14:schemeClr w14:val="tx1"/>
            </w14:solidFill>
          </w14:textFill>
        </w:rPr>
        <w:t>3.2.3发布预警和预警级别调整</w:t>
      </w:r>
      <w:bookmarkEnd w:id="293"/>
      <w:bookmarkEnd w:id="294"/>
      <w:bookmarkEnd w:id="295"/>
      <w:bookmarkEnd w:id="296"/>
      <w:bookmarkEnd w:id="297"/>
      <w:bookmarkEnd w:id="298"/>
      <w:bookmarkEnd w:id="299"/>
      <w:bookmarkStart w:id="300" w:name="_Toc516048686"/>
    </w:p>
    <w:p>
      <w:pPr>
        <w:widowControl/>
        <w:adjustRightInd w:val="0"/>
        <w:snapToGrid w:val="0"/>
        <w:spacing w:line="360" w:lineRule="auto"/>
        <w:jc w:val="left"/>
        <w:outlineLvl w:val="2"/>
        <w:rPr>
          <w:b/>
          <w:bCs/>
          <w:color w:val="000000" w:themeColor="text1"/>
          <w:sz w:val="32"/>
          <w:szCs w:val="32"/>
          <w14:textFill>
            <w14:solidFill>
              <w14:schemeClr w14:val="tx1"/>
            </w14:solidFill>
          </w14:textFill>
        </w:rPr>
      </w:pPr>
      <w:bookmarkStart w:id="301" w:name="_Toc5752"/>
      <w:r>
        <w:rPr>
          <w:b/>
          <w:bCs/>
          <w:color w:val="000000" w:themeColor="text1"/>
          <w:sz w:val="32"/>
          <w:szCs w:val="32"/>
          <w14:textFill>
            <w14:solidFill>
              <w14:schemeClr w14:val="tx1"/>
            </w14:solidFill>
          </w14:textFill>
        </w:rPr>
        <w:t>3.2.3.1</w:t>
      </w:r>
      <w:r>
        <w:rPr>
          <w:rFonts w:hint="eastAsia"/>
          <w:b/>
          <w:bCs/>
          <w:color w:val="000000" w:themeColor="text1"/>
          <w:sz w:val="32"/>
          <w:szCs w:val="32"/>
          <w14:textFill>
            <w14:solidFill>
              <w14:schemeClr w14:val="tx1"/>
            </w14:solidFill>
          </w14:textFill>
        </w:rPr>
        <w:t>预警发布流程</w:t>
      </w:r>
      <w:bookmarkEnd w:id="300"/>
      <w:bookmarkEnd w:id="30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区饮用水源地应急办研判可能发生饮用水源地突发环境事件时，应当及时向区水源地应急指挥部提出预警信息的发布建议，同时通报同级相关部门和单位。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区级预警由区饮用水源地应急指挥部发布。</w:t>
      </w:r>
    </w:p>
    <w:p>
      <w:pPr>
        <w:shd w:val="solid" w:color="FFFFFF" w:fill="auto"/>
        <w:autoSpaceDN w:val="0"/>
        <w:adjustRightInd w:val="0"/>
        <w:snapToGrid w:val="0"/>
        <w:spacing w:line="324" w:lineRule="auto"/>
        <w:ind w:firstLine="640" w:firstLineChars="200"/>
        <w:rPr>
          <w:color w:val="000000" w:themeColor="text1"/>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发布流程：橙色预警由副总指挥（区政府分管环保副区长）签发；红色预警由总指挥（区政府分管环保副区长）签发。</w:t>
      </w:r>
      <w:bookmarkStart w:id="302" w:name="_Toc516048684"/>
      <w:bookmarkStart w:id="303" w:name="_Toc10240"/>
      <w:bookmarkStart w:id="304" w:name="_Toc523153522"/>
      <w:bookmarkStart w:id="305" w:name="_Toc518463485"/>
      <w:bookmarkStart w:id="306" w:name="_Toc527026551"/>
      <w:bookmarkStart w:id="307" w:name="_Toc523220091"/>
      <w:r>
        <w:rPr>
          <w:rFonts w:hint="eastAsia"/>
          <w:b/>
          <w:bCs/>
          <w:color w:val="000000" w:themeColor="text1"/>
          <w:sz w:val="32"/>
          <w:szCs w:val="32"/>
          <w14:textFill>
            <w14:solidFill>
              <w14:schemeClr w14:val="tx1"/>
            </w14:solidFill>
          </w14:textFill>
        </w:rPr>
        <w:t>3.2.3.2预警发布内容</w:t>
      </w:r>
      <w:bookmarkEnd w:id="30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预警信息发布内容主要包括事件类别、预警级别、可能影响范围、警示事项、应当采取的措施和发布机关等。</w:t>
      </w:r>
      <w:bookmarkStart w:id="308" w:name="_Toc516048685"/>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3.2.3.3预警发布渠道</w:t>
      </w:r>
      <w:bookmarkEnd w:id="30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309" w:name="_Toc516048687"/>
      <w:r>
        <w:rPr>
          <w:rFonts w:hint="eastAsia" w:eastAsia="仿宋"/>
          <w:color w:val="000000" w:themeColor="text1"/>
          <w:kern w:val="0"/>
          <w:sz w:val="32"/>
          <w:szCs w:val="32"/>
          <w14:textFill>
            <w14:solidFill>
              <w14:schemeClr w14:val="tx1"/>
            </w14:solidFill>
          </w14:textFill>
        </w:rPr>
        <w:t>预警信息发布应充分利用广播、电视、互联网等手段和媒介，及时、准确地将预警信息传播给可能受影响的相关地区和人员。</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预警信息可选择通过以下途径发布：</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（1）通过已建立的区环境应急工作网络，以文件传真等方式向相关部门和相关镇政府（街道）发布预警信息。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（2）通过区政府或区生态环境局门户网站、微博、移动客户端等发布预警信息。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（3）提供应急预警的新闻稿，通过广播、电视、互联网等媒体发布预警信息。</w:t>
      </w:r>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3.2.3.4</w:t>
      </w:r>
      <w:r>
        <w:rPr>
          <w:rFonts w:hint="eastAsia"/>
          <w:b/>
          <w:bCs/>
          <w:color w:val="000000" w:themeColor="text1"/>
          <w:sz w:val="32"/>
          <w:szCs w:val="32"/>
          <w14:textFill>
            <w14:solidFill>
              <w14:schemeClr w14:val="tx1"/>
            </w14:solidFill>
          </w14:textFill>
        </w:rPr>
        <w:t>预警级别调整</w:t>
      </w:r>
      <w:bookmarkEnd w:id="30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预警信息发布后，可根据事态发展、采取措施的效果和专家预警建议，适时调整预警级别并再次发布。</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10" w:name="_Toc12076"/>
      <w:bookmarkStart w:id="311" w:name="_Toc11904"/>
      <w:r>
        <w:rPr>
          <w:rFonts w:hint="eastAsia" w:eastAsia="仿宋"/>
          <w:b/>
          <w:color w:val="000000" w:themeColor="text1"/>
          <w:sz w:val="32"/>
          <w:szCs w:val="32"/>
          <w14:textFill>
            <w14:solidFill>
              <w14:schemeClr w14:val="tx1"/>
            </w14:solidFill>
          </w14:textFill>
        </w:rPr>
        <w:t>3.2.4预警行动</w:t>
      </w:r>
      <w:bookmarkEnd w:id="303"/>
      <w:bookmarkEnd w:id="304"/>
      <w:bookmarkEnd w:id="305"/>
      <w:bookmarkEnd w:id="306"/>
      <w:bookmarkEnd w:id="307"/>
      <w:bookmarkEnd w:id="310"/>
      <w:bookmarkEnd w:id="31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预警信息发布后，区政府和有关部门应视事件情况和可能产生的影响，采取以下预警行动。一般情况下，发布红色预警时，现场应急指挥部的总指挥应当到达现场，组织开展应急响应工作。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预警行动包含但不限于以下内容：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（1）下达启动水源地应急预案的命令。</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（2）通知现场应急指挥部中的有关单位和人员做好应急准备，进入待命状态，必要时到达现场开展相关工作。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（3）指令启动工程预警调度体系，控制或关闭受污染的连接水体的涵闸、泵站，做好相关准备工作。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（4）通知水源地对应的供水单位进入待命状态，做好停止取水、低压供水或启动备用水源等准备，发动群众储备饮用水。</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（5）加强信息监控，核实突发环境事件污染来源、进入水体的污染物种类、总量和污染扩散范围等信息。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（6）开展应急监测或做好应急监测准备。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（7）做好事件信息上报和通报。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（8）调集所需应急物资和设备，做好应急保障。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（9）在危险区域设置提示或警告标志。</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（10）必要时，及时通过媒体向公众发布信息。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（11）加强舆情监测、引导和应对工作。</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12" w:name="_Toc20846"/>
      <w:bookmarkStart w:id="313" w:name="_Toc523220092"/>
      <w:bookmarkStart w:id="314" w:name="_Toc25841"/>
      <w:bookmarkStart w:id="315" w:name="_Toc1360"/>
      <w:bookmarkStart w:id="316" w:name="_Toc523153523"/>
      <w:bookmarkStart w:id="317" w:name="_Toc518463486"/>
      <w:bookmarkStart w:id="318" w:name="_Toc527026552"/>
      <w:r>
        <w:rPr>
          <w:rFonts w:hint="eastAsia" w:eastAsia="仿宋"/>
          <w:b/>
          <w:color w:val="000000" w:themeColor="text1"/>
          <w:sz w:val="32"/>
          <w:szCs w:val="32"/>
          <w14:textFill>
            <w14:solidFill>
              <w14:schemeClr w14:val="tx1"/>
            </w14:solidFill>
          </w14:textFill>
        </w:rPr>
        <w:t>3.2.5预警解除</w:t>
      </w:r>
      <w:bookmarkEnd w:id="312"/>
      <w:bookmarkEnd w:id="313"/>
      <w:bookmarkEnd w:id="314"/>
      <w:bookmarkEnd w:id="315"/>
      <w:bookmarkEnd w:id="316"/>
      <w:bookmarkEnd w:id="317"/>
      <w:bookmarkEnd w:id="31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当有事实证明不可能发生水源地突发环境事件或者判断危险已经解除的，由区饮用水源地应急指挥部宣布解除预警，终止已经采取的有关行动和措施。</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19" w:name="_Toc527026553"/>
      <w:bookmarkStart w:id="320" w:name="_Toc528234248"/>
      <w:bookmarkStart w:id="321" w:name="_Toc523219595"/>
      <w:bookmarkStart w:id="322" w:name="_Toc523223894"/>
      <w:bookmarkStart w:id="323" w:name="_Toc2734"/>
      <w:bookmarkStart w:id="324" w:name="_Toc529453112"/>
      <w:bookmarkStart w:id="325" w:name="_Toc522893237"/>
      <w:bookmarkStart w:id="326" w:name="_Toc29048"/>
      <w:bookmarkStart w:id="327" w:name="_Toc523220093"/>
      <w:bookmarkStart w:id="328" w:name="_Toc16753"/>
      <w:bookmarkStart w:id="329" w:name="_Toc523153524"/>
      <w:bookmarkStart w:id="330" w:name="_Toc20439"/>
      <w:bookmarkStart w:id="331" w:name="_Toc523219306"/>
      <w:bookmarkStart w:id="332" w:name="_Toc529453266"/>
      <w:bookmarkStart w:id="333" w:name="_Toc523223354"/>
      <w:r>
        <w:rPr>
          <w:rFonts w:hint="eastAsia" w:eastAsia="仿宋"/>
          <w:b/>
          <w:color w:val="000000" w:themeColor="text1"/>
          <w:sz w:val="32"/>
          <w:szCs w:val="32"/>
          <w14:textFill>
            <w14:solidFill>
              <w14:schemeClr w14:val="tx1"/>
            </w14:solidFill>
          </w14:textFill>
        </w:rPr>
        <w:t>3.3信息报告与通报</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区饮用水源地应急办设立24小时应急值班室（值班电话：12369），随时接报突发环境事件信息，及时做好下情上报，上情下达。</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34" w:name="_Toc31247"/>
      <w:bookmarkStart w:id="335" w:name="_Toc523153525"/>
      <w:bookmarkStart w:id="336" w:name="_Toc527026554"/>
      <w:bookmarkStart w:id="337" w:name="_Toc31288"/>
      <w:bookmarkStart w:id="338" w:name="_Toc523220094"/>
      <w:bookmarkStart w:id="339" w:name="_Toc14120"/>
      <w:bookmarkStart w:id="340" w:name="_Toc518463488"/>
      <w:r>
        <w:rPr>
          <w:rFonts w:hint="eastAsia" w:eastAsia="仿宋"/>
          <w:b/>
          <w:color w:val="000000" w:themeColor="text1"/>
          <w:sz w:val="32"/>
          <w:szCs w:val="32"/>
          <w14:textFill>
            <w14:solidFill>
              <w14:schemeClr w14:val="tx1"/>
            </w14:solidFill>
          </w14:textFill>
        </w:rPr>
        <w:t>3.3.1信息报告程序</w:t>
      </w:r>
      <w:bookmarkEnd w:id="334"/>
      <w:bookmarkEnd w:id="335"/>
      <w:bookmarkEnd w:id="336"/>
      <w:bookmarkEnd w:id="337"/>
      <w:bookmarkEnd w:id="33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（1）发现已经造成或可能造成水源地污染的有关人员和责任单位，应按照有关规定立即向区饮用水源地应急指挥部及生态环境等部门报告。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水源地突发环境事件发生地所属行政区域的镇政府（街道）有关部门在发现或得知水源地突发环境事件信息后，应立即进行核实，了解有关情况。经过核实后，第一时间向区饮用水源地应急指挥部及区饮用水源地应急办等部门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（3）区生态环境局先于事发地镇政府获悉水源地突发环境事件信息的，可要求事发地镇政府核实并报告相应信息。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（4）特殊情况下，若遇到敏感事件或发生在重点地区、特殊时期、或可能演化为重大、特别重大突发环境事件的信息，有关责任单位和部门应立即向区饮用水源地应急指挥部报告。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41" w:name="_Toc31468"/>
      <w:bookmarkStart w:id="342" w:name="_Toc523220095"/>
      <w:bookmarkStart w:id="343" w:name="_Toc527026555"/>
      <w:bookmarkStart w:id="344" w:name="_Toc523153526"/>
      <w:bookmarkStart w:id="345" w:name="_Toc19970"/>
      <w:r>
        <w:rPr>
          <w:rFonts w:hint="eastAsia" w:eastAsia="仿宋"/>
          <w:b/>
          <w:color w:val="000000" w:themeColor="text1"/>
          <w:sz w:val="32"/>
          <w:szCs w:val="32"/>
          <w14:textFill>
            <w14:solidFill>
              <w14:schemeClr w14:val="tx1"/>
            </w14:solidFill>
          </w14:textFill>
        </w:rPr>
        <w:t>3.3.2信息报告时限</w:t>
      </w:r>
      <w:bookmarkEnd w:id="339"/>
      <w:bookmarkEnd w:id="340"/>
      <w:bookmarkEnd w:id="341"/>
      <w:bookmarkEnd w:id="342"/>
      <w:bookmarkEnd w:id="343"/>
      <w:bookmarkEnd w:id="344"/>
      <w:bookmarkEnd w:id="345"/>
    </w:p>
    <w:p>
      <w:pPr>
        <w:shd w:val="solid" w:color="FFFFFF" w:fill="auto"/>
        <w:autoSpaceDN w:val="0"/>
        <w:adjustRightInd w:val="0"/>
        <w:snapToGrid w:val="0"/>
        <w:spacing w:line="324" w:lineRule="auto"/>
        <w:ind w:firstLine="640" w:firstLineChars="200"/>
        <w:rPr>
          <w:color w:val="000000" w:themeColor="text1"/>
          <w:highlight w:val="yellow"/>
          <w14:textFill>
            <w14:solidFill>
              <w14:schemeClr w14:val="tx1"/>
            </w14:solidFill>
          </w14:textFill>
        </w:rPr>
      </w:pPr>
      <w:bookmarkStart w:id="346" w:name="_Toc518463489"/>
      <w:bookmarkStart w:id="347" w:name="_Toc28471"/>
      <w:r>
        <w:rPr>
          <w:rFonts w:hint="eastAsia" w:eastAsia="仿宋"/>
          <w:color w:val="000000" w:themeColor="text1"/>
          <w:kern w:val="0"/>
          <w:sz w:val="32"/>
          <w:szCs w:val="32"/>
          <w14:textFill>
            <w14:solidFill>
              <w14:schemeClr w14:val="tx1"/>
            </w14:solidFill>
          </w14:textFill>
        </w:rPr>
        <w:t>突发环境事件发生后，水源地管理单位必须启动应急预案并采取应对措施，立即向当地事发地镇政府和相关部门报告。</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348" w:name="_Toc527026556"/>
      <w:bookmarkStart w:id="349" w:name="_Toc523153527"/>
      <w:bookmarkStart w:id="350" w:name="_Toc523220096"/>
      <w:bookmarkStart w:id="351" w:name="_Toc27190"/>
      <w:r>
        <w:rPr>
          <w:rFonts w:hint="eastAsia" w:eastAsia="仿宋"/>
          <w:color w:val="000000" w:themeColor="text1"/>
          <w:kern w:val="0"/>
          <w:sz w:val="32"/>
          <w:szCs w:val="32"/>
          <w14:textFill>
            <w14:solidFill>
              <w14:schemeClr w14:val="tx1"/>
            </w14:solidFill>
          </w14:textFill>
        </w:rPr>
        <w:t>（1）对初步认定为一般（II级）突发环境事件的，区饮用水源地应急指挥部应立即以电话、短信等形式向本级人民政府和莆田市生态环境局上报，详细信息最迟在15分钟内上报。</w:t>
      </w:r>
    </w:p>
    <w:p>
      <w:pPr>
        <w:adjustRightInd w:val="0"/>
        <w:snapToGrid w:val="0"/>
        <w:spacing w:line="324" w:lineRule="auto"/>
        <w:ind w:firstLine="640" w:firstLineChars="200"/>
        <w:rPr>
          <w:rFonts w:hint="eastAsia" w:eastAsia="仿宋"/>
          <w:color w:val="000000" w:themeColor="text1"/>
          <w:kern w:val="0"/>
          <w:sz w:val="32"/>
          <w:szCs w:val="32"/>
          <w14:textFill>
            <w14:solidFill>
              <w14:schemeClr w14:val="tx1"/>
            </w14:solidFill>
          </w14:textFill>
        </w:rPr>
      </w:pPr>
      <w:bookmarkStart w:id="352" w:name="_Toc23924"/>
      <w:r>
        <w:rPr>
          <w:rFonts w:hint="eastAsia" w:eastAsia="仿宋"/>
          <w:color w:val="000000" w:themeColor="text1"/>
          <w:kern w:val="0"/>
          <w:sz w:val="32"/>
          <w:szCs w:val="32"/>
          <w14:textFill>
            <w14:solidFill>
              <w14:schemeClr w14:val="tx1"/>
            </w14:solidFill>
          </w14:textFill>
        </w:rPr>
        <w:t>（2）对初步认定为重大（I级）突发环境事件的，区饮用水源地应急指挥部应立即以电话、短信等形式向本级人民政府、上级人民政府、莆田市生态环境局、福建省生态环境厅上报。详细信息最迟在15分钟内上报。突发环境事件处置过程中事件级别发生变化的，应当按照变化后的级别报告信息。</w:t>
      </w:r>
      <w:bookmarkEnd w:id="352"/>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（3）发生下列一时无法判明等级的突发环境事件时，县应急指挥部应当按照重大（I级）突发环境事件的报告程序上报：</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①对集中式饮用水水源保护区造成或者可能造成影响的；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②涉及居民聚居区、学校、医院等敏感区域和敏感人群的；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③涉及重金属或者类重金属污染的；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④因环境污染引发群体性事件，或者社会影响较大的；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⑤地方人民政府环境保护主管部门认为有必要报告的其他突发环境事件。</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53" w:name="_Toc16154"/>
      <w:r>
        <w:rPr>
          <w:rFonts w:hint="eastAsia" w:eastAsia="仿宋"/>
          <w:b/>
          <w:color w:val="000000" w:themeColor="text1"/>
          <w:sz w:val="32"/>
          <w:szCs w:val="32"/>
          <w14:textFill>
            <w14:solidFill>
              <w14:schemeClr w14:val="tx1"/>
            </w14:solidFill>
          </w14:textFill>
        </w:rPr>
        <w:t>3.3.3信息通报程序</w:t>
      </w:r>
      <w:bookmarkEnd w:id="346"/>
      <w:bookmarkEnd w:id="347"/>
      <w:bookmarkEnd w:id="348"/>
      <w:bookmarkEnd w:id="349"/>
      <w:bookmarkEnd w:id="350"/>
      <w:bookmarkEnd w:id="351"/>
      <w:bookmarkEnd w:id="35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对经核实的水源地突发环境事件，接报的有关部门应向区政府和有关部门通报。通报的部门至少应包括区生态环境局、供水管理（</w:t>
      </w:r>
      <w:r>
        <w:rPr>
          <w:rFonts w:eastAsia="仿宋"/>
          <w:color w:val="000000" w:themeColor="text1"/>
          <w:kern w:val="0"/>
          <w:sz w:val="32"/>
          <w:szCs w:val="32"/>
          <w14:textFill>
            <w14:solidFill>
              <w14:schemeClr w14:val="tx1"/>
            </w14:solidFill>
          </w14:textFill>
        </w:rPr>
        <w:t>莆田市自来水公司、莆田市供水公司</w:t>
      </w:r>
      <w:r>
        <w:rPr>
          <w:rFonts w:hint="eastAsia" w:eastAsia="仿宋"/>
          <w:color w:val="000000" w:themeColor="text1"/>
          <w:kern w:val="0"/>
          <w:sz w:val="32"/>
          <w:szCs w:val="32"/>
          <w14:textFill>
            <w14:solidFill>
              <w14:schemeClr w14:val="tx1"/>
            </w14:solidFill>
          </w14:textFill>
        </w:rPr>
        <w:t>、华源自来水有限公司（朝阳水库）、华源自来水有限公司（院里水库）、湄洲湾自来水有限公司东海供水站（海头水库）、云峰自来水厂（红旗水库））、区卫生健康局、区水利局等部门；根据水源地突发环境事件的类型和情景，还应通报区消防支队（遇火灾事故）、区交通运输局（危险化学品道路运输事故应急处置）、区公安局、区应急管理局（遇火灾爆炸、道路运输事故）、</w:t>
      </w:r>
      <w:r>
        <w:rPr>
          <w:rFonts w:hint="eastAsia" w:eastAsia="仿宋"/>
          <w:color w:val="000000" w:themeColor="text1"/>
          <w:kern w:val="0"/>
          <w:sz w:val="32"/>
          <w:szCs w:val="32"/>
          <w:lang w:eastAsia="zh-CN"/>
          <w14:textFill>
            <w14:solidFill>
              <w14:schemeClr w14:val="tx1"/>
            </w14:solidFill>
          </w14:textFill>
        </w:rPr>
        <w:t>区自然资源局、</w:t>
      </w:r>
      <w:r>
        <w:rPr>
          <w:rFonts w:hint="eastAsia" w:eastAsia="仿宋"/>
          <w:color w:val="000000" w:themeColor="text1"/>
          <w:kern w:val="0"/>
          <w:sz w:val="32"/>
          <w:szCs w:val="32"/>
          <w14:textFill>
            <w14:solidFill>
              <w14:schemeClr w14:val="tx1"/>
            </w14:solidFill>
          </w14:textFill>
        </w:rPr>
        <w:t>区农业农村局（遇大面积死鱼）等部门。其他部门接到相关报告的，应及时通报区生态环境局。区生态环境局应通过互联网信息监测、环境污染举报热线等多种渠道，加强对突发环境事件信息的收集，及时掌握突发环境事件发生情况。</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54" w:name="_Toc518463490"/>
      <w:bookmarkStart w:id="355" w:name="_Toc527026557"/>
      <w:bookmarkStart w:id="356" w:name="_Toc523153528"/>
      <w:bookmarkStart w:id="357" w:name="_Toc523220097"/>
      <w:bookmarkStart w:id="358" w:name="_Toc21475"/>
      <w:bookmarkStart w:id="359" w:name="_Toc6373"/>
      <w:r>
        <w:rPr>
          <w:rFonts w:hint="eastAsia" w:eastAsia="仿宋"/>
          <w:b/>
          <w:color w:val="000000" w:themeColor="text1"/>
          <w:sz w:val="32"/>
          <w:szCs w:val="32"/>
          <w14:textFill>
            <w14:solidFill>
              <w14:schemeClr w14:val="tx1"/>
            </w14:solidFill>
          </w14:textFill>
        </w:rPr>
        <w:t>3.3.4信息报告和通报内容</w:t>
      </w:r>
      <w:bookmarkEnd w:id="354"/>
      <w:bookmarkEnd w:id="355"/>
      <w:bookmarkEnd w:id="356"/>
      <w:bookmarkEnd w:id="357"/>
      <w:bookmarkEnd w:id="358"/>
      <w:bookmarkEnd w:id="35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按照不同的时间节点，水源地突发环境事件报告分为初报、续报和处理结果报告。初报是发现或得知突发环境事件后的首次报告；续报是查清有关基本情况、事件发展情况后的报告，可随时报告；处理结果报告是突发环境事件处理完毕后的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初报应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（2）续报应在初报的基础上，报告事件及有关处置措施的进展情况。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处理结果报告应在初报、续报的基础上，报告突发环境事件的处置措施、过程和结果，突发环境事件潜在或者间接危害以及损失、社会影响、处理后的遗留问题、责任追究等详细情况。处理结果报告至少包括事件基本情况，处理事件的措施、过程和结果，事件造成的危害、损失和社会影响，处理后的遗留问题，肇事者责任追究情况五个部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环境事件信息应采用传真、网络、邮寄或面呈等方式书面报告，情况紧急时，初报应通过传真、手机短信、电话方式报送，通过手机短信或电话等形式报送的，应当及时补充书面报告。书面报告应说明突发环境事件报告单位、报告签发人、联系人及联系电话等内容，并尽可能提供地图、图片以及有关的多媒体资料。</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城厢区水源地突发环境事件信息报送内容见附件7。</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60" w:name="_Toc523219307"/>
      <w:bookmarkStart w:id="361" w:name="_Toc26251"/>
      <w:bookmarkStart w:id="362" w:name="_Toc21487"/>
      <w:bookmarkStart w:id="363" w:name="_Toc523223895"/>
      <w:bookmarkStart w:id="364" w:name="_Toc527026558"/>
      <w:bookmarkStart w:id="365" w:name="_Toc16337"/>
      <w:bookmarkStart w:id="366" w:name="_Toc528234249"/>
      <w:bookmarkStart w:id="367" w:name="_Toc523223355"/>
      <w:bookmarkStart w:id="368" w:name="_Toc529453113"/>
      <w:bookmarkStart w:id="369" w:name="_Toc529453267"/>
      <w:bookmarkStart w:id="370" w:name="_Toc522893238"/>
      <w:bookmarkStart w:id="371" w:name="_Toc523220098"/>
      <w:bookmarkStart w:id="372" w:name="_Toc17215"/>
      <w:bookmarkStart w:id="373" w:name="_Toc523153529"/>
      <w:bookmarkStart w:id="374" w:name="_Toc523219596"/>
      <w:r>
        <w:rPr>
          <w:rFonts w:hint="eastAsia" w:eastAsia="仿宋"/>
          <w:b/>
          <w:color w:val="000000" w:themeColor="text1"/>
          <w:sz w:val="32"/>
          <w:szCs w:val="32"/>
          <w14:textFill>
            <w14:solidFill>
              <w14:schemeClr w14:val="tx1"/>
            </w14:solidFill>
          </w14:textFill>
        </w:rPr>
        <w:t>3.4事态研判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预警后，现场应急指挥部迅速组建参加应急指挥的各个工作组，跟踪开展事态研判。专家组及相关应急工作组成员应根据事故点下游沿河水利设施工程情况、判断污染物进入河流的数量及种类性质、事故点下游水系分布（包括清洁水情况）、发生水华的水域面积及程度、距离水源地取水口的距离和可能对水源地造成的危害，以及备用水源地情况，判定污染程度、危害范围、事件等级，提出相应的对策和意见；指导应急队伍进行应急处置；对突发环境事件的危害范围、发展趋势做出科学预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事态研判的结果，应作为制定和动态调整应急响应有关方案、实施应急监测、污染源排查与处置和应急处置的重要基础。</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75" w:name="_Toc528234250"/>
      <w:bookmarkStart w:id="376" w:name="_Toc522893239"/>
      <w:bookmarkStart w:id="377" w:name="_Toc29239"/>
      <w:bookmarkStart w:id="378" w:name="_Toc523220099"/>
      <w:bookmarkStart w:id="379" w:name="_Toc523153530"/>
      <w:bookmarkStart w:id="380" w:name="_Toc16688"/>
      <w:bookmarkStart w:id="381" w:name="_Toc529453268"/>
      <w:bookmarkStart w:id="382" w:name="_Toc523219597"/>
      <w:bookmarkStart w:id="383" w:name="_Toc523223896"/>
      <w:bookmarkStart w:id="384" w:name="_Toc523219308"/>
      <w:bookmarkStart w:id="385" w:name="_Toc529453114"/>
      <w:bookmarkStart w:id="386" w:name="_Toc523223356"/>
      <w:bookmarkStart w:id="387" w:name="_Toc20762"/>
      <w:bookmarkStart w:id="388" w:name="_Toc527026559"/>
      <w:bookmarkStart w:id="389" w:name="_Toc1871"/>
      <w:r>
        <w:rPr>
          <w:rFonts w:hint="eastAsia" w:eastAsia="仿宋"/>
          <w:b/>
          <w:color w:val="000000" w:themeColor="text1"/>
          <w:sz w:val="32"/>
          <w:szCs w:val="32"/>
          <w14:textFill>
            <w14:solidFill>
              <w14:schemeClr w14:val="tx1"/>
            </w14:solidFill>
          </w14:textFill>
        </w:rPr>
        <w:t>3.5应急监测</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生态环境局委托莆田市环境监测中心站或第三方监测机构开展水源地应急监测工作、区卫生健康局负责自来水水质监测工作。水源地突发环境事件发生时，根据事件的严重性、紧急程度和可能波及的范围分级启动应急监测工作，查明污染物种类、污染程度、范围以及污染发展趋势，提出处理建议，为应急处置提供决策依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市环境监测站、区水利局</w:t>
      </w:r>
      <w:r>
        <w:rPr>
          <w:rFonts w:hint="eastAsia" w:eastAsia="仿宋"/>
          <w:color w:val="000000" w:themeColor="text1"/>
          <w:kern w:val="0"/>
          <w:sz w:val="32"/>
          <w:szCs w:val="32"/>
          <w:lang w:eastAsia="zh-CN"/>
          <w14:textFill>
            <w14:solidFill>
              <w14:schemeClr w14:val="tx1"/>
            </w14:solidFill>
          </w14:textFill>
        </w:rPr>
        <w:t>水利股</w:t>
      </w:r>
      <w:r>
        <w:rPr>
          <w:rFonts w:hint="eastAsia" w:eastAsia="仿宋"/>
          <w:color w:val="000000" w:themeColor="text1"/>
          <w:kern w:val="0"/>
          <w:sz w:val="32"/>
          <w:szCs w:val="32"/>
          <w14:textFill>
            <w14:solidFill>
              <w14:schemeClr w14:val="tx1"/>
            </w14:solidFill>
          </w14:textFill>
        </w:rPr>
        <w:t>、相关自来水厂负责组织供水水质的应急监测工作。判定水源地污染事件发生后对其供水质量的危害程度以及受影响的范围，向现场应急指挥部报告。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90" w:name="_Toc31473"/>
      <w:bookmarkStart w:id="391" w:name="_Toc527026560"/>
      <w:bookmarkStart w:id="392" w:name="_Toc523153531"/>
      <w:bookmarkStart w:id="393" w:name="_Toc9170"/>
      <w:bookmarkStart w:id="394" w:name="_Toc24872"/>
      <w:bookmarkStart w:id="395" w:name="_Toc523220100"/>
      <w:bookmarkStart w:id="396" w:name="_Toc518463493"/>
      <w:r>
        <w:rPr>
          <w:rFonts w:hint="eastAsia" w:eastAsia="仿宋"/>
          <w:b/>
          <w:color w:val="000000" w:themeColor="text1"/>
          <w:sz w:val="32"/>
          <w:szCs w:val="32"/>
          <w14:textFill>
            <w14:solidFill>
              <w14:schemeClr w14:val="tx1"/>
            </w14:solidFill>
          </w14:textFill>
        </w:rPr>
        <w:t>3.5.1开展应急监测程序</w:t>
      </w:r>
      <w:bookmarkEnd w:id="390"/>
      <w:bookmarkEnd w:id="391"/>
      <w:bookmarkEnd w:id="392"/>
      <w:bookmarkEnd w:id="393"/>
      <w:bookmarkEnd w:id="394"/>
      <w:bookmarkEnd w:id="395"/>
      <w:bookmarkEnd w:id="39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事件处置初期，应按照现场应急指挥部命令，根据现场实际情况制定监测方案、设置监测点位（断面）、确定监测频次、组织开展监测、形成监测报告，第一时间向现场应急指挥部报告监测结果。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事件处置中期，应根据事态发展，如上游来水量、应急处置措施效果等情况，适时调整监测点位（断面）和监测频次。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事件处置末期，应按照现场应急指挥部命令，停止应急监测，并向现场应急指挥部提交应急监测总结报告。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97" w:name="_Toc523153532"/>
      <w:bookmarkStart w:id="398" w:name="_Toc518463494"/>
      <w:bookmarkStart w:id="399" w:name="_Toc523220101"/>
      <w:bookmarkStart w:id="400" w:name="_Toc527026561"/>
      <w:bookmarkStart w:id="401" w:name="_Toc28861"/>
      <w:bookmarkStart w:id="402" w:name="_Toc11324"/>
      <w:bookmarkStart w:id="403" w:name="_Toc19230"/>
      <w:r>
        <w:rPr>
          <w:rFonts w:hint="eastAsia" w:eastAsia="仿宋"/>
          <w:b/>
          <w:color w:val="000000" w:themeColor="text1"/>
          <w:sz w:val="32"/>
          <w:szCs w:val="32"/>
          <w14:textFill>
            <w14:solidFill>
              <w14:schemeClr w14:val="tx1"/>
            </w14:solidFill>
          </w14:textFill>
        </w:rPr>
        <w:t>3.5.2制定应急监测方案</w:t>
      </w:r>
      <w:bookmarkEnd w:id="397"/>
      <w:bookmarkEnd w:id="398"/>
      <w:bookmarkEnd w:id="399"/>
      <w:bookmarkEnd w:id="400"/>
      <w:bookmarkEnd w:id="401"/>
      <w:bookmarkEnd w:id="402"/>
      <w:bookmarkEnd w:id="40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由</w:t>
      </w:r>
      <w:r>
        <w:rPr>
          <w:rFonts w:hint="eastAsia" w:eastAsia="仿宋"/>
          <w:color w:val="000000" w:themeColor="text1"/>
          <w:kern w:val="0"/>
          <w:sz w:val="32"/>
          <w:szCs w:val="32"/>
          <w:lang w:eastAsia="zh-CN"/>
          <w14:textFill>
            <w14:solidFill>
              <w14:schemeClr w14:val="tx1"/>
            </w14:solidFill>
          </w14:textFill>
        </w:rPr>
        <w:t>区生态环境局</w:t>
      </w:r>
      <w:r>
        <w:rPr>
          <w:rFonts w:hint="eastAsia" w:eastAsia="仿宋"/>
          <w:color w:val="000000" w:themeColor="text1"/>
          <w:kern w:val="0"/>
          <w:sz w:val="32"/>
          <w:szCs w:val="32"/>
          <w:lang w:val="zh-CN" w:eastAsia="zh-CN"/>
          <w14:textFill>
            <w14:solidFill>
              <w14:schemeClr w14:val="tx1"/>
            </w14:solidFill>
          </w14:textFill>
        </w:rPr>
        <w:t>、卫生健康局</w:t>
      </w:r>
      <w:r>
        <w:rPr>
          <w:rFonts w:hint="eastAsia" w:eastAsia="仿宋"/>
          <w:color w:val="000000" w:themeColor="text1"/>
          <w:kern w:val="0"/>
          <w:sz w:val="32"/>
          <w:szCs w:val="32"/>
          <w:lang w:eastAsia="zh-CN"/>
          <w14:textFill>
            <w14:solidFill>
              <w14:schemeClr w14:val="tx1"/>
            </w14:solidFill>
          </w14:textFill>
        </w:rPr>
        <w:t>负责</w:t>
      </w:r>
      <w:r>
        <w:rPr>
          <w:rFonts w:hint="eastAsia" w:eastAsia="仿宋"/>
          <w:color w:val="000000" w:themeColor="text1"/>
          <w:kern w:val="0"/>
          <w:sz w:val="32"/>
          <w:szCs w:val="32"/>
          <w14:textFill>
            <w14:solidFill>
              <w14:schemeClr w14:val="tx1"/>
            </w14:solidFill>
          </w14:textFill>
        </w:rPr>
        <w:t>制定应急监测方案，区卫生健康局、区水利局、相关自来水厂和相关企事业单位监测机构配合，现场应急工作组负责组织、实施、协调，在发生水源地突发环境事件时第一时间根据现场实际情况制定监测方案。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应急监测原则和注意事项包括但不限于以下内容：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（1）监测范围。应尽量涵盖水源地突发环境事件的污染范围，并包括事件可能影响区域和污染物本底浓度的监测区域。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监测布点和频次。以突发环境事件发生地点为中心或源头，结合水文和气象条件，在其扩散方向及可能受到影响的水源地位置合理布点，必要时在事故影响区域内水源取水口、农灌区取水口处设置监测点位（断面）。应采取不同点位（断面）相同间隔时间（视实际情况而定）同步采样监测方式，动态监控污染带移动过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①针对固定源突发环境事件，应对固定源排放口附近水域、下游水源地附近水域进行加密跟踪监测；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②针对流动源、非点源突发环境事件，应对事发区域下游水域、下游水源地附近进行加密跟踪监测；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③水华灾害突发事件若发生在一级、二级保护区范围，应对取水口不同水层进行加密跟踪监测。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（3）现场采样。应制定采样计划和准备采样器材。采样量应同时满足快速监测、实验室监测和留样的需要。采样频次应考虑污染程度和现场水文条件，按照应急专家组的意见确定。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监测项目。通过现场信息收集、信息研判、代表性样品分析等途径，确定主要污染物及监测项目。监测项目应考虑主要污染物在环境中可能产生的化学反应、衍生成其他有毒有害物质，有条件的地区可同时开展水生生物指标的监测，为后期损害评估提供第一手资料。</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（5）分析方法。具备现场监测条件的监测项目，应尽量在现场监测。必要时，备份样品送实验室监（复）测，以确认现场定性或定量监测结果的准确性。</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（6）监测结果与数据报告。应按照有关监测技术规范进行数据处理。监测结果可用定性、半定量或定量方式报出。监测结果可采用电话、传真、快报、简报、监测报告等形式第一时间报告现场应急指挥部。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（7）监测数据的质量保证。应急监测过程中的样品采集、现场监测、实验室监测、数据统计等环节，都应有质量控制措施，并对应急监测报告严格按要求审核。</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04" w:name="_Toc529453115"/>
      <w:bookmarkStart w:id="405" w:name="_Toc523223357"/>
      <w:bookmarkStart w:id="406" w:name="_Toc527026562"/>
      <w:bookmarkStart w:id="407" w:name="_Toc523223897"/>
      <w:bookmarkStart w:id="408" w:name="_Toc523219598"/>
      <w:bookmarkStart w:id="409" w:name="_Toc522893240"/>
      <w:bookmarkStart w:id="410" w:name="_Toc523220102"/>
      <w:bookmarkStart w:id="411" w:name="_Toc23403"/>
      <w:bookmarkStart w:id="412" w:name="_Toc523153533"/>
      <w:bookmarkStart w:id="413" w:name="_Toc528234251"/>
      <w:bookmarkStart w:id="414" w:name="_Toc28927"/>
      <w:bookmarkStart w:id="415" w:name="_Toc523219309"/>
      <w:bookmarkStart w:id="416" w:name="_Toc529453269"/>
      <w:bookmarkStart w:id="417" w:name="_Toc32197"/>
      <w:bookmarkStart w:id="418" w:name="_Toc4233"/>
      <w:r>
        <w:rPr>
          <w:rFonts w:hint="eastAsia" w:eastAsia="仿宋"/>
          <w:b/>
          <w:color w:val="000000" w:themeColor="text1"/>
          <w:sz w:val="32"/>
          <w:szCs w:val="32"/>
          <w14:textFill>
            <w14:solidFill>
              <w14:schemeClr w14:val="tx1"/>
            </w14:solidFill>
          </w14:textFill>
        </w:rPr>
        <w:t>3.6污染源排查与处置</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19" w:name="_Toc14822"/>
      <w:bookmarkStart w:id="420" w:name="_Toc523220103"/>
      <w:bookmarkStart w:id="421" w:name="_Toc527026563"/>
      <w:bookmarkStart w:id="422" w:name="_Toc523153534"/>
      <w:bookmarkStart w:id="423" w:name="_Toc518463496"/>
      <w:bookmarkStart w:id="424" w:name="_Toc4524"/>
      <w:bookmarkStart w:id="425" w:name="_Toc31709"/>
      <w:r>
        <w:rPr>
          <w:rFonts w:hint="eastAsia" w:eastAsia="仿宋"/>
          <w:b/>
          <w:color w:val="000000" w:themeColor="text1"/>
          <w:sz w:val="32"/>
          <w:szCs w:val="32"/>
          <w14:textFill>
            <w14:solidFill>
              <w14:schemeClr w14:val="tx1"/>
            </w14:solidFill>
          </w14:textFill>
        </w:rPr>
        <w:t>3.6.1明确排查对象</w:t>
      </w:r>
      <w:bookmarkEnd w:id="419"/>
      <w:bookmarkEnd w:id="420"/>
      <w:bookmarkEnd w:id="421"/>
      <w:bookmarkEnd w:id="422"/>
      <w:bookmarkEnd w:id="423"/>
      <w:bookmarkEnd w:id="424"/>
      <w:bookmarkEnd w:id="42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当水质监测发现异常、污染物来源不确定时，应急处置组应根据特征污染物种类、浓度变化、释放总量、释放路径、释放时间，以及当时的水文和气象条件，迅速组织开展污染源排查。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针对不同类型污染物的排查重点和对象如下：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（1）有机类污染：重点排查生活污水处理设施、工业企业，调查污水处理设施运行、尾水排放的异常情况。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营养盐类污染：重点排查生活污水处理设施、工业企业、畜禽养殖场（户）、农田种植户、农村居民点、医疗场所等，调查污水处理设施运行、养殖废物处理处置、农药化肥施用、农村生活污染、医疗废水处理及消毒设施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（3）细菌类污染：重点排查生活污水处理设施、畜禽养殖场（户）、农村居民点，调查污水处理设施运行、养殖废物处理处置、医疗场所、农村生活污染的异常情况。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（4）农药类污染：重点排查果园种植园（户）、农田种植户、农灌退水排放口，调查农药施用和流失的异常情况。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（5）石油类污染：重点排查运输车辆、加工和存贮的工业企业，调查上述企业和单位的异常情况。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（6）重金属及其他有毒有害物质污染：重点排查危化品运输车辆。</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26" w:name="_Toc523153535"/>
      <w:bookmarkStart w:id="427" w:name="_Toc518463497"/>
      <w:bookmarkStart w:id="428" w:name="_Toc11774"/>
      <w:bookmarkStart w:id="429" w:name="_Toc527026564"/>
      <w:bookmarkStart w:id="430" w:name="_Toc14194"/>
      <w:bookmarkStart w:id="431" w:name="_Toc523220104"/>
      <w:bookmarkStart w:id="432" w:name="_Toc13887"/>
      <w:r>
        <w:rPr>
          <w:rFonts w:hint="eastAsia" w:eastAsia="仿宋"/>
          <w:b/>
          <w:color w:val="000000" w:themeColor="text1"/>
          <w:sz w:val="32"/>
          <w:szCs w:val="32"/>
          <w14:textFill>
            <w14:solidFill>
              <w14:schemeClr w14:val="tx1"/>
            </w14:solidFill>
          </w14:textFill>
        </w:rPr>
        <w:t>3.6.2切断污染源</w:t>
      </w:r>
      <w:bookmarkEnd w:id="426"/>
      <w:bookmarkEnd w:id="427"/>
      <w:bookmarkEnd w:id="428"/>
      <w:bookmarkEnd w:id="429"/>
      <w:bookmarkEnd w:id="430"/>
      <w:bookmarkEnd w:id="431"/>
      <w:bookmarkEnd w:id="43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应急处置组负责对水源地应急预案适用地域范围内的污染源实施切断；对水源地应急预案适用地域范围外的污染源，按有关突发环境事件应急预案要求进行处置。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处置措施主要采取切断污染源、收集和围堵污染物等，包括但不限于以下内容：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（1）对发生非正常排放或有毒有害物质泄漏的固定源突发环境事件，应尽快采取关闭、封堵、收集、转移等措施，切断污染源或泄漏源。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（2）对道路交通运输过程中发生的流动源突发事件，可启动路面系统的导流槽、应急池或紧急设置围堰、闸坝拦截、油毡吸附、围油栏等方式，对污染源进行围堵并收集污染物。</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（3）启动应急收集系统集中收集陆域污染物，设立拦截设施，防止污染物在陆域漫延，组织有关部门对污染物进行回收处置。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（4）根据现场事态发展对扩散至水体的污染物进行处置。</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33" w:name="_Toc523219310"/>
      <w:bookmarkStart w:id="434" w:name="_Toc727"/>
      <w:bookmarkStart w:id="435" w:name="_Toc523223358"/>
      <w:bookmarkStart w:id="436" w:name="_Toc14852"/>
      <w:bookmarkStart w:id="437" w:name="_Toc528234252"/>
      <w:bookmarkStart w:id="438" w:name="_Toc523153536"/>
      <w:bookmarkStart w:id="439" w:name="_Toc529453270"/>
      <w:bookmarkStart w:id="440" w:name="_Toc529453116"/>
      <w:bookmarkStart w:id="441" w:name="_Toc20785"/>
      <w:bookmarkStart w:id="442" w:name="_Toc527026565"/>
      <w:bookmarkStart w:id="443" w:name="_Toc522893241"/>
      <w:bookmarkStart w:id="444" w:name="_Toc523219599"/>
      <w:bookmarkStart w:id="445" w:name="_Toc11140"/>
      <w:bookmarkStart w:id="446" w:name="_Toc523220105"/>
      <w:bookmarkStart w:id="447" w:name="_Toc523223898"/>
      <w:r>
        <w:rPr>
          <w:rFonts w:hint="eastAsia" w:eastAsia="仿宋"/>
          <w:b/>
          <w:color w:val="000000" w:themeColor="text1"/>
          <w:sz w:val="32"/>
          <w:szCs w:val="32"/>
          <w14:textFill>
            <w14:solidFill>
              <w14:schemeClr w14:val="tx1"/>
            </w14:solidFill>
          </w14:textFill>
        </w:rPr>
        <w:t>3.7应急处置</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48" w:name="_Toc29662"/>
      <w:bookmarkStart w:id="449" w:name="_Toc527026566"/>
      <w:bookmarkStart w:id="450" w:name="_Toc518463499"/>
      <w:bookmarkStart w:id="451" w:name="_Toc14016"/>
      <w:bookmarkStart w:id="452" w:name="_Toc17350"/>
      <w:bookmarkStart w:id="453" w:name="_Toc523153537"/>
      <w:bookmarkStart w:id="454" w:name="_Toc523220106"/>
      <w:r>
        <w:rPr>
          <w:rFonts w:hint="eastAsia" w:eastAsia="仿宋"/>
          <w:b/>
          <w:color w:val="000000" w:themeColor="text1"/>
          <w:sz w:val="32"/>
          <w:szCs w:val="32"/>
          <w14:textFill>
            <w14:solidFill>
              <w14:schemeClr w14:val="tx1"/>
            </w14:solidFill>
          </w14:textFill>
        </w:rPr>
        <w:t>3.7.1制定现场处置方案</w:t>
      </w:r>
      <w:bookmarkEnd w:id="448"/>
      <w:bookmarkEnd w:id="449"/>
      <w:bookmarkEnd w:id="450"/>
      <w:bookmarkEnd w:id="451"/>
      <w:bookmarkEnd w:id="452"/>
      <w:bookmarkEnd w:id="453"/>
      <w:bookmarkEnd w:id="45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455" w:name="_Toc12339"/>
      <w:bookmarkStart w:id="456" w:name="_Toc518463500"/>
      <w:r>
        <w:rPr>
          <w:rFonts w:hint="eastAsia" w:eastAsia="仿宋"/>
          <w:color w:val="000000" w:themeColor="text1"/>
          <w:kern w:val="0"/>
          <w:sz w:val="32"/>
          <w:szCs w:val="32"/>
          <w14:textFill>
            <w14:solidFill>
              <w14:schemeClr w14:val="tx1"/>
            </w14:solidFill>
          </w14:textFill>
        </w:rPr>
        <w:t>现场处置方案由现场应急指挥部制订，现场处置要立足于彻底消除污染危害，避免遗留后患，依靠科技和专家力量，尽可能控制和缩小已排出污染物的扩散、漫延范围，把水源地突发环境事件危害降低到最小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（1）应急处置组及应急监测组迅速赶赴现场鉴定、识别、核实造成污染的种类、性质、污染方式、危害程度及受影响范围和边界，判明事件的性质和危害程度。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（2）应急处置组采取一切控制措施如切断泄漏源、关闭闸门、设置围堰、打捞污染物、调水引流、人工增雨、水体增氧等减小或消除污染物污染的范围、程度。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当确定饮用水水源受污染时，应急供水保障组适时启动供水应急预案，及时调整水处理工艺，强化水处理工艺的净化效果。保障出厂自来水水质达标，必要时采取联网供水、限水、停水、减压供水、改路供水等特殊处理措施，启用应急备用水源地，使用地下水应急供水、供应纯净水等措施保证饮用水安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当水源保护区水污染危及人群健康时，综合组加强疾病预防控制工作，对因饮用水源污染可能导致的疾病、疫情进行应急处置；做好污染区域的现场保护、隔离、交通疏导和人员疏散；把握全区的舆论导向，指导各新闻单位做好相关报道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（5）应急物资保障组保证应急物资和经费及时到位。根据突发事件应急处置需要，协调各镇政府及区水利局、区卫生健康局等相关部门及时调集应急物资和筹集应急经费。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现场处置方案包括但不限于以下内容：应急监测、污染处置措施、物资调集、应急队伍和人员安排、供水单位应对等。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根据污染特征，水源地突发环境事件的污染处置措施如下：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水华灾害突发事件。对一级、二级水源保护区的水华发生区域，采取物理方法减少和控制藻类增长；有条件的，可采用生态调水的方式，通过增加水体扰动控制水华灾害。藻类污染物的处理一般需要综合处置，对于藻类细胞本身，可以通过改性黏土吸附沉降或者利用构筑物气浮等物理手段去除，也应通过预氧化对藻类细胞灭活的方式去除，对嗅味物质、藻毒素等藻类代谢产物，宜采取氯、高锰酸钾、过氧化氢等氧化与粉末活性炭吸附单独或组合使用进行控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水体内污染物治理、总量或浓度削减。根据应急专家组等意见，制定综合处置方案，经现场应急指挥部确认后实施。采取隔离、吸附、打捞、扰动等物理方法，氧化、沉淀等化学方法，或利用上游调水等稀释方法，可以采取一种或多种方式，力争短时间内削减污染物浓度。现场应急指挥部可根据需要，对水源地汇水区域内的污染物排放企业实施停产、减产、限产等措施，削减水域污染物总量或浓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应急工程设施拦截污染水体。在河道内启用或修建拦截坝、节制闸等工程设施拦截污染水体；通过导流渠将未受污染水体导流至污染水体下游，通过分流沟将污染水体分流至水源保护区外进行收集处置；利用前置库、缓冲池等工程设施，降低污染水体的污染物浓度，为应急处置争取时间。针对污染物可采取的物理、化学、生物处理技术见附件8。</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57" w:name="_Toc527026567"/>
      <w:bookmarkStart w:id="458" w:name="_Toc32516"/>
      <w:bookmarkStart w:id="459" w:name="_Toc523220107"/>
      <w:bookmarkStart w:id="460" w:name="_Toc1425"/>
      <w:bookmarkStart w:id="461" w:name="_Toc523153538"/>
      <w:r>
        <w:rPr>
          <w:rFonts w:hint="eastAsia" w:eastAsia="仿宋"/>
          <w:b/>
          <w:color w:val="000000" w:themeColor="text1"/>
          <w:sz w:val="32"/>
          <w:szCs w:val="32"/>
          <w14:textFill>
            <w14:solidFill>
              <w14:schemeClr w14:val="tx1"/>
            </w14:solidFill>
          </w14:textFill>
        </w:rPr>
        <w:t>3.7.2供水安全保障</w:t>
      </w:r>
      <w:bookmarkEnd w:id="457"/>
      <w:bookmarkEnd w:id="458"/>
      <w:bookmarkEnd w:id="459"/>
      <w:bookmarkEnd w:id="460"/>
      <w:bookmarkEnd w:id="461"/>
    </w:p>
    <w:bookmarkEnd w:id="455"/>
    <w:bookmarkEnd w:id="456"/>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462" w:name="_Toc6563"/>
      <w:bookmarkStart w:id="463" w:name="_Toc527026569"/>
      <w:bookmarkStart w:id="464" w:name="_Toc523223899"/>
      <w:bookmarkStart w:id="465" w:name="_Toc529453117"/>
      <w:bookmarkStart w:id="466" w:name="_Toc523220109"/>
      <w:bookmarkStart w:id="467" w:name="_Toc522893242"/>
      <w:bookmarkStart w:id="468" w:name="_Toc21261"/>
      <w:bookmarkStart w:id="469" w:name="_Toc523223359"/>
      <w:bookmarkStart w:id="470" w:name="_Toc5225"/>
      <w:bookmarkStart w:id="471" w:name="_Toc523219311"/>
      <w:bookmarkStart w:id="472" w:name="_Toc523219600"/>
      <w:bookmarkStart w:id="473" w:name="_Toc529453271"/>
      <w:bookmarkStart w:id="474" w:name="_Toc523153540"/>
      <w:bookmarkStart w:id="475" w:name="_Toc528234253"/>
      <w:r>
        <w:rPr>
          <w:rFonts w:hint="eastAsia" w:eastAsia="仿宋"/>
          <w:color w:val="000000" w:themeColor="text1"/>
          <w:kern w:val="0"/>
          <w:sz w:val="32"/>
          <w:szCs w:val="32"/>
          <w14:textFill>
            <w14:solidFill>
              <w14:schemeClr w14:val="tx1"/>
            </w14:solidFill>
          </w14:textFill>
        </w:rPr>
        <w:t>当确定饮用水水源受污染时，区水利局应立即通知（</w:t>
      </w:r>
      <w:r>
        <w:rPr>
          <w:rFonts w:eastAsia="仿宋"/>
          <w:color w:val="000000" w:themeColor="text1"/>
          <w:kern w:val="0"/>
          <w:sz w:val="32"/>
          <w:szCs w:val="32"/>
          <w14:textFill>
            <w14:solidFill>
              <w14:schemeClr w14:val="tx1"/>
            </w14:solidFill>
          </w14:textFill>
        </w:rPr>
        <w:t>莆田市自来水公司、莆田市供水公司</w:t>
      </w:r>
      <w:r>
        <w:rPr>
          <w:rFonts w:hint="eastAsia" w:eastAsia="仿宋"/>
          <w:color w:val="000000" w:themeColor="text1"/>
          <w:kern w:val="0"/>
          <w:sz w:val="32"/>
          <w:szCs w:val="32"/>
          <w14:textFill>
            <w14:solidFill>
              <w14:schemeClr w14:val="tx1"/>
            </w14:solidFill>
          </w14:textFill>
        </w:rPr>
        <w:t>、华源自来水有限公司（朝阳水库）、华源自来水有限公司（院里水库）、湄洲湾自来水有限公司东海供水站（海头水库）、云峰自来水厂（红旗水库））迅速采取措施，及时调整水处理工艺，强化水处理工艺的净化效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监测或事态研判过程中，发现或判定污染物已扩散至饮用水水源地，制定的方案中要求停止取水，或原水污染以现有净化工艺不能控制时，制水厂应及时上报建议停止供水，启动临时供水措施，使用应急输供水车等设施保障居民用水，并加强事故泄漏污染物监测，通过各种媒体通告居民在事故未解除前，不得饮用污染的水。</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76" w:name="_Toc15513"/>
      <w:r>
        <w:rPr>
          <w:rFonts w:hint="eastAsia" w:eastAsia="仿宋"/>
          <w:b/>
          <w:color w:val="000000" w:themeColor="text1"/>
          <w:sz w:val="32"/>
          <w:szCs w:val="32"/>
          <w14:textFill>
            <w14:solidFill>
              <w14:schemeClr w14:val="tx1"/>
            </w14:solidFill>
          </w14:textFill>
        </w:rPr>
        <w:t>3.8物资调集及应急设施启用</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相关职能部门应根据不同类别的水源地突发环境事件加强本辖区内应急救援物资的生产、储存、调拨体系建设。</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现场应急指挥部根据处置方案调集应急物资、应急装备并启用相应的应急设施。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应急物资、装备和设施包括但不限于以下内容：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（1）对水体内污染物进行打捞和拦截的物资、装备和设施，如救援打捞设备、油毡、围油栏、筑坝材料、溢出控制装备等。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（2）控制和消除污染物的物资、装备和设施，如中和剂、灭火剂、解毒剂、吸收剂等。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（3）移除和拦截移动源的装备和设施，如吊车、临时围堰、导流槽、应急池等。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（4）雨水口垃圾清运和拦截的装备和设施，如格栅、清运车、临时设置的导流槽等。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（5）针对水华灾害，消除有毒有害物质产生条件、清除藻类的物资、装备和设施，如增氧机、除草船等。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（6）对污染物进行拦截、导流、分流及降解的应急工程设施，如拦截坝、节制闸、导流渠、分流沟、前置库等。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具体应急物资库存情况、物资调集人员姓名及联系方式详见附件10。</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77" w:name="_Toc523223900"/>
      <w:bookmarkStart w:id="478" w:name="_Toc527026570"/>
      <w:bookmarkStart w:id="479" w:name="_Toc523219312"/>
      <w:bookmarkStart w:id="480" w:name="_Toc523223360"/>
      <w:bookmarkStart w:id="481" w:name="_Toc14753"/>
      <w:bookmarkStart w:id="482" w:name="_Toc6439"/>
      <w:bookmarkStart w:id="483" w:name="_Toc22673"/>
      <w:bookmarkStart w:id="484" w:name="_Toc529453272"/>
      <w:bookmarkStart w:id="485" w:name="_Toc528234254"/>
      <w:bookmarkStart w:id="486" w:name="_Toc19248"/>
      <w:bookmarkStart w:id="487" w:name="_Toc523219601"/>
      <w:bookmarkStart w:id="488" w:name="_Toc523153541"/>
      <w:bookmarkStart w:id="489" w:name="_Toc529453118"/>
      <w:bookmarkStart w:id="490" w:name="_Toc522893243"/>
      <w:bookmarkStart w:id="491" w:name="_Toc523220110"/>
      <w:r>
        <w:rPr>
          <w:rFonts w:hint="eastAsia" w:eastAsia="仿宋"/>
          <w:b/>
          <w:color w:val="000000" w:themeColor="text1"/>
          <w:sz w:val="32"/>
          <w:szCs w:val="32"/>
          <w14:textFill>
            <w14:solidFill>
              <w14:schemeClr w14:val="tx1"/>
            </w14:solidFill>
          </w14:textFill>
        </w:rPr>
        <w:t>3.9舆情监测与信息发布</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在水源地突发环境事件发生后，应第一时间借助电视、广播、报纸、互联网、微信、公众告知等多种途径，主动、及时、准确、客观地向社会及时准确发布事态最新情况，公布咨询电话，组织专家解读；加强相关舆情监测，回应社会关切，澄清不实信息，做好舆论引导工作；并针对舆情及时发布事件原因、污染程度、影响区域、已采取的措施及成效、公众应注意的防范措施、热线电话等。</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92" w:name="_Toc11262"/>
      <w:bookmarkStart w:id="493" w:name="_Toc22048"/>
      <w:r>
        <w:rPr>
          <w:rFonts w:hint="eastAsia" w:eastAsia="仿宋"/>
          <w:b/>
          <w:color w:val="000000" w:themeColor="text1"/>
          <w:sz w:val="32"/>
          <w:szCs w:val="32"/>
          <w14:textFill>
            <w14:solidFill>
              <w14:schemeClr w14:val="tx1"/>
            </w14:solidFill>
          </w14:textFill>
        </w:rPr>
        <w:t>3.9.1发布的主要内容</w:t>
      </w:r>
      <w:bookmarkEnd w:id="492"/>
      <w:bookmarkEnd w:id="49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（1）发生事故的单位名称和地址。</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（2）事件发生时间或预期持续时间。</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（3）事件类型（分为固定源、流动源、非点源和水华灾害等突发环境事件）、起因和性质。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（4）事件影响的当前状况和发展趋势，已采取的措施。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（5）提请公众应注意的防范措施，紧急情况的热线电话及其它必要信息。</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94" w:name="_Toc528234255"/>
      <w:bookmarkStart w:id="495" w:name="_Toc17881"/>
      <w:bookmarkStart w:id="496" w:name="_Toc529453119"/>
      <w:bookmarkStart w:id="497" w:name="_Toc527026571"/>
      <w:bookmarkStart w:id="498" w:name="_Toc523223901"/>
      <w:bookmarkStart w:id="499" w:name="_Toc26384"/>
      <w:bookmarkStart w:id="500" w:name="_Toc523223361"/>
      <w:bookmarkStart w:id="501" w:name="_Toc523219602"/>
      <w:bookmarkStart w:id="502" w:name="_Toc15694"/>
      <w:bookmarkStart w:id="503" w:name="_Toc522893244"/>
      <w:bookmarkStart w:id="504" w:name="_Toc523220111"/>
      <w:bookmarkStart w:id="505" w:name="_Toc523219313"/>
      <w:bookmarkStart w:id="506" w:name="_Toc523153542"/>
      <w:bookmarkStart w:id="507" w:name="_Toc529453273"/>
      <w:bookmarkStart w:id="508" w:name="_Toc26714"/>
      <w:r>
        <w:rPr>
          <w:rFonts w:hint="eastAsia" w:eastAsia="仿宋"/>
          <w:b/>
          <w:color w:val="000000" w:themeColor="text1"/>
          <w:sz w:val="32"/>
          <w:szCs w:val="32"/>
          <w14:textFill>
            <w14:solidFill>
              <w14:schemeClr w14:val="tx1"/>
            </w14:solidFill>
          </w14:textFill>
        </w:rPr>
        <w:t>3.10响应终止</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当符合下列情形之一的，由现场应急指挥部提出建议，并报经区饮用水源地应急指挥部同意后，由区饮用水源地应急办通过电视、广播、报纸、互联网、微信等渠道向受影响的区域或群众发布应急响应终止。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（1）进入水源保护区陆域范围的污染物已成功围堵，且清运至水源保护区外，未向水域扩散时。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（2）进入水源保护区水域范围的污染团已成功拦截或导流至水源保护区外，没有向取水口扩散的风险，且水质监测结果稳定达标。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（3）水质监测结果尚未稳定达标，但根据应急专家组建议可恢复正常取水时。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城厢区水源地突发环境事件应急结束宣布格式内容见附件11。</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09" w:name="_Toc529453120"/>
      <w:bookmarkStart w:id="510" w:name="_Toc529453274"/>
      <w:bookmarkStart w:id="511" w:name="_Toc522893245"/>
      <w:bookmarkStart w:id="512" w:name="_Toc528234256"/>
      <w:bookmarkStart w:id="513" w:name="_Toc7250"/>
      <w:bookmarkStart w:id="514" w:name="_Toc523153543"/>
      <w:bookmarkStart w:id="515" w:name="_Toc523220112"/>
      <w:bookmarkStart w:id="516" w:name="_Toc24947"/>
      <w:bookmarkStart w:id="517" w:name="_Toc527026572"/>
      <w:bookmarkStart w:id="518" w:name="_Toc23913"/>
      <w:bookmarkStart w:id="519" w:name="_Toc523219603"/>
      <w:bookmarkStart w:id="520" w:name="_Toc523223902"/>
      <w:bookmarkStart w:id="521" w:name="_Toc523223362"/>
      <w:bookmarkStart w:id="522" w:name="_Toc25461"/>
      <w:bookmarkStart w:id="523" w:name="_Toc523219314"/>
      <w:r>
        <w:rPr>
          <w:rFonts w:hint="eastAsia" w:eastAsia="黑体"/>
          <w:bCs/>
          <w:color w:val="000000" w:themeColor="text1"/>
          <w:sz w:val="32"/>
          <w:szCs w:val="32"/>
          <w14:textFill>
            <w14:solidFill>
              <w14:schemeClr w14:val="tx1"/>
            </w14:solidFill>
          </w14:textFill>
        </w:rPr>
        <w:t>4后期工作</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包括后期防控、事件调查、损害评估、善后处置等内容。</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24" w:name="_Toc523223903"/>
      <w:bookmarkStart w:id="525" w:name="_Toc16930"/>
      <w:bookmarkStart w:id="526" w:name="_Toc529453275"/>
      <w:bookmarkStart w:id="527" w:name="_Toc523219604"/>
      <w:bookmarkStart w:id="528" w:name="_Toc527026573"/>
      <w:bookmarkStart w:id="529" w:name="_Toc523223363"/>
      <w:bookmarkStart w:id="530" w:name="_Toc8313"/>
      <w:bookmarkStart w:id="531" w:name="_Toc522893246"/>
      <w:bookmarkStart w:id="532" w:name="_Toc523220113"/>
      <w:bookmarkStart w:id="533" w:name="_Toc523219315"/>
      <w:bookmarkStart w:id="534" w:name="_Toc523153544"/>
      <w:bookmarkStart w:id="535" w:name="_Toc528234257"/>
      <w:bookmarkStart w:id="536" w:name="_Toc529453121"/>
      <w:bookmarkStart w:id="537" w:name="_Toc10637"/>
      <w:bookmarkStart w:id="538" w:name="_Toc25149"/>
      <w:r>
        <w:rPr>
          <w:rFonts w:hint="eastAsia" w:eastAsia="仿宋"/>
          <w:b/>
          <w:color w:val="000000" w:themeColor="text1"/>
          <w:sz w:val="32"/>
          <w:szCs w:val="32"/>
          <w14:textFill>
            <w14:solidFill>
              <w14:schemeClr w14:val="tx1"/>
            </w14:solidFill>
          </w14:textFill>
        </w:rPr>
        <w:t>4.1后期防控</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突发环境事件应急响应终止后，区饮用水源地应急指挥部应组织应急监测队伍进行后期污染监测；组织专家制定后期污染治理方案，消除投放药剂的残留毒性和后期效应，防止次生突发环境事件；事件处理过程中产生的二次污染物应采取措施妥善、合法处置。事故处置过程产生的废水污染物收集后由区生态环境局委托有处理能力的单位处理达标后排放，事故处置过程产生的固废污染物需妥善安全暂存，委托有能力处置单位妥善处置，若为危险废物须交由有资质单位安全处置；在事故场地及漫延区域的污染物清除完成后，对土壤或水生态系统进行修复；部分污染物导流到水源地下游或其他区域，对这些区域的污染物进行清除等。</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39" w:name="_Toc523219605"/>
      <w:bookmarkStart w:id="540" w:name="_Toc527026574"/>
      <w:bookmarkStart w:id="541" w:name="_Toc523219316"/>
      <w:bookmarkStart w:id="542" w:name="_Toc30596"/>
      <w:bookmarkStart w:id="543" w:name="_Toc523223364"/>
      <w:bookmarkStart w:id="544" w:name="_Toc8014"/>
      <w:bookmarkStart w:id="545" w:name="_Toc529453276"/>
      <w:bookmarkStart w:id="546" w:name="_Toc522893247"/>
      <w:bookmarkStart w:id="547" w:name="_Toc528234258"/>
      <w:bookmarkStart w:id="548" w:name="_Toc523153545"/>
      <w:bookmarkStart w:id="549" w:name="_Toc523223904"/>
      <w:bookmarkStart w:id="550" w:name="_Toc22269"/>
      <w:bookmarkStart w:id="551" w:name="_Toc529453122"/>
      <w:bookmarkStart w:id="552" w:name="_Toc14695"/>
      <w:bookmarkStart w:id="553" w:name="_Toc523220114"/>
      <w:r>
        <w:rPr>
          <w:rFonts w:hint="eastAsia" w:eastAsia="仿宋"/>
          <w:b/>
          <w:color w:val="000000" w:themeColor="text1"/>
          <w:sz w:val="32"/>
          <w:szCs w:val="32"/>
          <w14:textFill>
            <w14:solidFill>
              <w14:schemeClr w14:val="tx1"/>
            </w14:solidFill>
          </w14:textFill>
        </w:rPr>
        <w:t>4.2事件调查</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突发环境事件发生后，根据《突发环境事件调查处理办法》等有关规定，由区生态环境局牵头，各有关部门配合，组织开展事件调查，通过对监测数据进行污染源分析、明察暗访等方式查明事件原因和性质，提出整改防范措施和处理建议。</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54" w:name="_Toc32163"/>
      <w:bookmarkStart w:id="555" w:name="_Toc529453277"/>
      <w:bookmarkStart w:id="556" w:name="_Toc523223365"/>
      <w:bookmarkStart w:id="557" w:name="_Toc528234259"/>
      <w:bookmarkStart w:id="558" w:name="_Toc11729"/>
      <w:bookmarkStart w:id="559" w:name="_Toc5734"/>
      <w:bookmarkStart w:id="560" w:name="_Toc30376"/>
      <w:bookmarkStart w:id="561" w:name="_Toc523153546"/>
      <w:bookmarkStart w:id="562" w:name="_Toc529453123"/>
      <w:bookmarkStart w:id="563" w:name="_Toc523219317"/>
      <w:bookmarkStart w:id="564" w:name="_Toc523220115"/>
      <w:bookmarkStart w:id="565" w:name="_Toc522893248"/>
      <w:bookmarkStart w:id="566" w:name="_Toc523219606"/>
      <w:bookmarkStart w:id="567" w:name="_Toc527026575"/>
      <w:bookmarkStart w:id="568" w:name="_Toc523223905"/>
      <w:r>
        <w:rPr>
          <w:rFonts w:hint="eastAsia" w:eastAsia="仿宋"/>
          <w:b/>
          <w:color w:val="000000" w:themeColor="text1"/>
          <w:sz w:val="32"/>
          <w:szCs w:val="32"/>
          <w14:textFill>
            <w14:solidFill>
              <w14:schemeClr w14:val="tx1"/>
            </w14:solidFill>
          </w14:textFill>
        </w:rPr>
        <w:t>4.3损害评估</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569" w:name="_Toc529453278"/>
      <w:bookmarkStart w:id="570" w:name="_Toc523219607"/>
      <w:bookmarkStart w:id="571" w:name="_Toc523223906"/>
      <w:bookmarkStart w:id="572" w:name="_Toc523219318"/>
      <w:bookmarkStart w:id="573" w:name="_Toc22009"/>
      <w:bookmarkStart w:id="574" w:name="_Toc523223366"/>
      <w:bookmarkStart w:id="575" w:name="_Toc528234260"/>
      <w:bookmarkStart w:id="576" w:name="_Toc3942"/>
      <w:bookmarkStart w:id="577" w:name="_Toc523220116"/>
      <w:bookmarkStart w:id="578" w:name="_Toc529453124"/>
      <w:bookmarkStart w:id="579" w:name="_Toc527026576"/>
      <w:bookmarkStart w:id="580" w:name="_Toc522893249"/>
      <w:bookmarkStart w:id="581" w:name="_Toc523153547"/>
      <w:r>
        <w:rPr>
          <w:rFonts w:hint="eastAsia" w:eastAsia="仿宋"/>
          <w:color w:val="000000" w:themeColor="text1"/>
          <w:kern w:val="0"/>
          <w:sz w:val="32"/>
          <w:szCs w:val="32"/>
          <w14:textFill>
            <w14:solidFill>
              <w14:schemeClr w14:val="tx1"/>
            </w14:solidFill>
          </w14:textFill>
        </w:rPr>
        <w:t>（1）事发地乡镇（街道）和相关部门要及时总结经验、吸取教训，将应急处置工作的全过程记录整理后，形成系统的书面材料报区饮用水源地应急办和区政府备案，为今后妥善处置突发公共事件积累经验。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由区人民政府委托第三方评估机构进行事件损害评估，公布损害评估的方式和办法，确定损害范围，通过经济损失、影响人数、生态环境破坏程度、导致水源取水中断天数等定量指标来评价损害大小，形成损害评估报告，报区饮用水源地应急指挥部存档。</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（3）由区人民政府在事件评估后第一时间内在网站、新闻、公告等形式发布。</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82" w:name="_Toc32145"/>
      <w:bookmarkStart w:id="583" w:name="_Toc12909"/>
      <w:r>
        <w:rPr>
          <w:rFonts w:hint="eastAsia" w:eastAsia="仿宋"/>
          <w:b/>
          <w:color w:val="000000" w:themeColor="text1"/>
          <w:sz w:val="32"/>
          <w:szCs w:val="32"/>
          <w14:textFill>
            <w14:solidFill>
              <w14:schemeClr w14:val="tx1"/>
            </w14:solidFill>
          </w14:textFill>
        </w:rPr>
        <w:t>4.4善后处置</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区政府负责，事发地乡镇（街道）和有关部门配合，开展善后处置工作，内容包括损害赔偿、风险源整改和污染场地修复等具体工作方案。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环境应急工作结束后，区生态环境局应继续跟踪监测污染物的变化情况，直至稳定恢复。区卫生健康局要做好灾害事故现场的消毒与疫情的监控工作。在应急处置过程中征用的救治、救援物资，交通工具及设施、设备等，应依据有关标准和程序归还，对一次性或损坏的应急用品给予补偿。</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组织有关专家对受灾范围进行科学评估，提出补偿和对受污染的生态环境进行恢复的建议、计划；协调处理污染赔偿和其他事项。如果环境污染造成了人员伤害，应当依据国家相关规定制定救助、补偿、治疗、抚恤、安置等善后工作方案并实施，对污染区域采取必要的疾病预防措施。</w:t>
      </w:r>
    </w:p>
    <w:p>
      <w:pPr>
        <w:adjustRightInd w:val="0"/>
        <w:snapToGrid w:val="0"/>
        <w:spacing w:line="324" w:lineRule="auto"/>
        <w:outlineLvl w:val="0"/>
        <w:rPr>
          <w:rFonts w:eastAsia="黑体"/>
          <w:bCs/>
          <w:color w:val="000000" w:themeColor="text1"/>
          <w:sz w:val="32"/>
          <w:szCs w:val="32"/>
          <w14:textFill>
            <w14:solidFill>
              <w14:schemeClr w14:val="tx1"/>
            </w14:solidFill>
          </w14:textFill>
        </w:rPr>
        <w:sectPr>
          <w:footerReference r:id="rId4" w:type="default"/>
          <w:pgSz w:w="11906" w:h="16838"/>
          <w:pgMar w:top="1440" w:right="1800" w:bottom="1440" w:left="1800" w:header="851" w:footer="454" w:gutter="0"/>
          <w:pgNumType w:start="1"/>
          <w:cols w:space="720" w:num="1"/>
          <w:docGrid w:type="lines" w:linePitch="381" w:charSpace="0"/>
        </w:sectPr>
      </w:pPr>
      <w:bookmarkStart w:id="584" w:name="_Toc523223907"/>
      <w:bookmarkStart w:id="585" w:name="_Toc30366"/>
      <w:bookmarkStart w:id="586" w:name="_Toc529453125"/>
      <w:bookmarkStart w:id="587" w:name="_Toc529453279"/>
      <w:bookmarkStart w:id="588" w:name="_Toc30941"/>
      <w:bookmarkStart w:id="589" w:name="_Toc523223367"/>
      <w:bookmarkStart w:id="590" w:name="_Toc523219319"/>
      <w:bookmarkStart w:id="591" w:name="_Toc528234261"/>
      <w:bookmarkStart w:id="592" w:name="_Toc13200"/>
      <w:bookmarkStart w:id="593" w:name="_Toc523153548"/>
      <w:bookmarkStart w:id="594" w:name="_Toc527026577"/>
      <w:bookmarkStart w:id="595" w:name="_Toc523220117"/>
      <w:bookmarkStart w:id="596" w:name="_Toc522893250"/>
      <w:bookmarkStart w:id="597" w:name="_Toc523219608"/>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98" w:name="_Toc23944"/>
      <w:r>
        <w:rPr>
          <w:rFonts w:hint="eastAsia" w:eastAsia="黑体"/>
          <w:bCs/>
          <w:color w:val="000000" w:themeColor="text1"/>
          <w:sz w:val="32"/>
          <w:szCs w:val="32"/>
          <w14:textFill>
            <w14:solidFill>
              <w14:schemeClr w14:val="tx1"/>
            </w14:solidFill>
          </w14:textFill>
        </w:rPr>
        <w:t>5应急保障</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99" w:name="_Toc523153549"/>
      <w:bookmarkStart w:id="600" w:name="_Toc528234262"/>
      <w:bookmarkStart w:id="601" w:name="_Toc529453126"/>
      <w:bookmarkStart w:id="602" w:name="_Toc523223368"/>
      <w:bookmarkStart w:id="603" w:name="_Toc19650"/>
      <w:bookmarkStart w:id="604" w:name="_Toc6782"/>
      <w:bookmarkStart w:id="605" w:name="_Toc523219320"/>
      <w:bookmarkStart w:id="606" w:name="_Toc523223908"/>
      <w:bookmarkStart w:id="607" w:name="_Toc523220118"/>
      <w:bookmarkStart w:id="608" w:name="_Toc529453280"/>
      <w:bookmarkStart w:id="609" w:name="_Toc523219609"/>
      <w:bookmarkStart w:id="610" w:name="_Toc17558"/>
      <w:bookmarkStart w:id="611" w:name="_Toc29122"/>
      <w:bookmarkStart w:id="612" w:name="_Toc527026578"/>
      <w:bookmarkStart w:id="613" w:name="_Toc522893251"/>
      <w:r>
        <w:rPr>
          <w:rFonts w:hint="eastAsia" w:eastAsia="仿宋"/>
          <w:b/>
          <w:color w:val="000000" w:themeColor="text1"/>
          <w:sz w:val="32"/>
          <w:szCs w:val="32"/>
          <w14:textFill>
            <w14:solidFill>
              <w14:schemeClr w14:val="tx1"/>
            </w14:solidFill>
          </w14:textFill>
        </w:rPr>
        <w:t>5.1通讯与信息保障</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与各成员单位应建立和完善通讯联络系统，区饮用水源地应急指挥部各成员单位应将应急队伍联系人、联系电话报区饮用水源地应急办备案，区饮用水源地应急办汇总后下发水源地突发环境事件应急处置专用通讯录。区饮用水源地应急办负责应急处置专用通信录的动态更新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区饮用水源地应急办加强环境应急值守，确保报警电话畅通。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综合组负责对外发布事件信息及应急处置进展情况。区环境应急指挥部负责提供准确、权威的信息，区委宣传部组织统一发布，确保信息准确、及时传递，正确引导社会舆论。事件发生的第一时间要向社会发布简要信息，随后发布初步核实情况、政府应对措施等，并根据事件处置情况做好后续发布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城厢区水源地突发环境事件应急指挥部及成员单位值班通讯录见附件13。</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14" w:name="_Toc23612"/>
      <w:bookmarkStart w:id="615" w:name="_Toc1894"/>
      <w:bookmarkStart w:id="616" w:name="_Toc522893252"/>
      <w:bookmarkStart w:id="617" w:name="_Toc523223909"/>
      <w:bookmarkStart w:id="618" w:name="_Toc24468"/>
      <w:bookmarkStart w:id="619" w:name="_Toc523219610"/>
      <w:bookmarkStart w:id="620" w:name="_Toc523219321"/>
      <w:bookmarkStart w:id="621" w:name="_Toc529453127"/>
      <w:bookmarkStart w:id="622" w:name="_Toc523153550"/>
      <w:bookmarkStart w:id="623" w:name="_Toc523220119"/>
      <w:bookmarkStart w:id="624" w:name="_Toc527026579"/>
      <w:bookmarkStart w:id="625" w:name="_Toc528234263"/>
      <w:bookmarkStart w:id="626" w:name="_Toc15204"/>
      <w:bookmarkStart w:id="627" w:name="_Toc529453281"/>
      <w:bookmarkStart w:id="628" w:name="_Toc523223369"/>
      <w:r>
        <w:rPr>
          <w:rFonts w:hint="eastAsia" w:eastAsia="仿宋"/>
          <w:b/>
          <w:color w:val="000000" w:themeColor="text1"/>
          <w:sz w:val="32"/>
          <w:szCs w:val="32"/>
          <w14:textFill>
            <w14:solidFill>
              <w14:schemeClr w14:val="tx1"/>
            </w14:solidFill>
          </w14:textFill>
        </w:rPr>
        <w:t>5.2应急队伍保障</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区级有关部门应建立多层次的应急保障队伍，区政府进一步加强公安消防等队伍处置突发环境事件的能力，同时依托环保专业处置企业等社会化力量，建立社会化的环境应急救援队伍。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加强应急队伍培训和演练。区环境应急指挥部组织全区演练，发现不足及时改进，不断提高各部门协同作战能力。</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sectPr>
          <w:pgSz w:w="11906" w:h="16838"/>
          <w:pgMar w:top="1440" w:right="1800" w:bottom="1440" w:left="1800" w:header="851" w:footer="454" w:gutter="0"/>
          <w:cols w:space="720" w:num="1"/>
          <w:docGrid w:type="lines" w:linePitch="381" w:charSpace="0"/>
        </w:sectPr>
      </w:pPr>
      <w:bookmarkStart w:id="629" w:name="_Toc528234264"/>
      <w:bookmarkStart w:id="630" w:name="_Toc523219322"/>
      <w:bookmarkStart w:id="631" w:name="_Toc28435"/>
      <w:bookmarkStart w:id="632" w:name="_Toc523223370"/>
      <w:bookmarkStart w:id="633" w:name="_Toc523153551"/>
      <w:bookmarkStart w:id="634" w:name="_Toc523220120"/>
      <w:bookmarkStart w:id="635" w:name="_Toc529453128"/>
      <w:bookmarkStart w:id="636" w:name="_Toc527026580"/>
      <w:bookmarkStart w:id="637" w:name="_Toc25546"/>
      <w:bookmarkStart w:id="638" w:name="_Toc523219611"/>
      <w:bookmarkStart w:id="639" w:name="_Toc522893253"/>
      <w:bookmarkStart w:id="640" w:name="_Toc9462"/>
      <w:bookmarkStart w:id="641" w:name="_Toc523223910"/>
      <w:bookmarkStart w:id="642" w:name="_Toc529453282"/>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43" w:name="_Toc16269"/>
      <w:r>
        <w:rPr>
          <w:rFonts w:hint="eastAsia" w:eastAsia="仿宋"/>
          <w:b/>
          <w:color w:val="000000" w:themeColor="text1"/>
          <w:sz w:val="32"/>
          <w:szCs w:val="32"/>
          <w14:textFill>
            <w14:solidFill>
              <w14:schemeClr w14:val="tx1"/>
            </w14:solidFill>
          </w14:textFill>
        </w:rPr>
        <w:t>5.3应急资源保障</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各成员单位根据职责分工，组织做好环境应急物资紧急生产、储备调用、紧急配送工作并做好本单位应急物资的更新及养护，保障应急处置和后续环境恢复需要。应根据事件和演练经验，持续改进药剂、物资、装备的规范存放，提高应急设施的建设要求，确保事件发生时能够快速高效的使用应急资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生态环境局做好区级环境应急物资储备库物资储备、更新、调度和紧急配送等信息动态管理工作。区政府及各成员单位要制定环境应急物资储备计划，强化环境应急物资储备，鼓励通过政府补贴、第三方服务等方式，建立符合实际的应急物资储备体系，提高突发环境事件救援能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事发地镇政府应结合本辖区水源地环境风险特点，加强对当地环境应急物资生产、储存、更新、补充和紧急配送等信息的动态管理。加强对危险化学品、重金属、石油类的分析检测系统的建设，加强包括清污、除油、除藻、解毒、防酸碱、防腐蚀等试剂材料、快速检验检测设备、隔离及卫生防护用品等的储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各应急物资储备库应制定相关管理制度，包括定期对仓库管理员进行教育培训；做好应急物资的入库质量把控、物资验收、登记建档等工作，建档内容包括：品名、规格型号、数量、入库日期、失效日期等。应急</w:t>
      </w:r>
      <w:r>
        <w:rPr>
          <w:rFonts w:hint="eastAsia" w:eastAsia="仿宋"/>
          <w:color w:val="000000" w:themeColor="text1"/>
          <w:kern w:val="0"/>
          <w:sz w:val="32"/>
          <w:szCs w:val="32"/>
          <w:lang w:eastAsia="zh-CN"/>
          <w14:textFill>
            <w14:solidFill>
              <w14:schemeClr w14:val="tx1"/>
            </w14:solidFill>
          </w14:textFill>
        </w:rPr>
        <w:t>物资</w:t>
      </w:r>
      <w:r>
        <w:rPr>
          <w:rFonts w:hint="eastAsia" w:eastAsia="仿宋"/>
          <w:color w:val="000000" w:themeColor="text1"/>
          <w:kern w:val="0"/>
          <w:sz w:val="32"/>
          <w:szCs w:val="32"/>
          <w14:textFill>
            <w14:solidFill>
              <w14:schemeClr w14:val="tx1"/>
            </w14:solidFill>
          </w14:textFill>
        </w:rPr>
        <w:t>储备库管理单位应定期对储备库进行全面检查，发现损坏、失效现象时及时更新或维修；发现有欠缺的应急物资，应及时补充添置。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区环境应急物资储备库物资清单及各区水源地突发环境事件应急物资储备情况具体见本预案3.8节。</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44" w:name="_Toc522893254"/>
      <w:bookmarkStart w:id="645" w:name="_Toc4517"/>
      <w:bookmarkStart w:id="646" w:name="_Toc523223911"/>
      <w:bookmarkStart w:id="647" w:name="_Toc523220121"/>
      <w:bookmarkStart w:id="648" w:name="_Toc523223371"/>
      <w:bookmarkStart w:id="649" w:name="_Toc528234265"/>
      <w:bookmarkStart w:id="650" w:name="_Toc21120"/>
      <w:bookmarkStart w:id="651" w:name="_Toc529453283"/>
      <w:bookmarkStart w:id="652" w:name="_Toc527026581"/>
      <w:bookmarkStart w:id="653" w:name="_Toc529453129"/>
      <w:bookmarkStart w:id="654" w:name="_Toc523219612"/>
      <w:bookmarkStart w:id="655" w:name="_Toc25816"/>
      <w:bookmarkStart w:id="656" w:name="_Toc523153552"/>
      <w:bookmarkStart w:id="657" w:name="_Toc9388"/>
      <w:bookmarkStart w:id="658" w:name="_Toc523219323"/>
      <w:r>
        <w:rPr>
          <w:rFonts w:hint="eastAsia" w:eastAsia="仿宋"/>
          <w:b/>
          <w:color w:val="000000" w:themeColor="text1"/>
          <w:sz w:val="32"/>
          <w:szCs w:val="32"/>
          <w14:textFill>
            <w14:solidFill>
              <w14:schemeClr w14:val="tx1"/>
            </w14:solidFill>
          </w14:textFill>
        </w:rPr>
        <w:t>5.4经费保障</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659" w:name="_Toc529453284"/>
      <w:bookmarkStart w:id="660" w:name="_Toc523219613"/>
      <w:bookmarkStart w:id="661" w:name="_Toc522893255"/>
      <w:bookmarkStart w:id="662" w:name="_Toc523219324"/>
      <w:bookmarkStart w:id="663" w:name="_Toc4643"/>
      <w:bookmarkStart w:id="664" w:name="_Toc523223372"/>
      <w:bookmarkStart w:id="665" w:name="_Toc523220122"/>
      <w:bookmarkStart w:id="666" w:name="_Toc31727"/>
      <w:bookmarkStart w:id="667" w:name="_Toc523153553"/>
      <w:bookmarkStart w:id="668" w:name="_Toc523223912"/>
      <w:bookmarkStart w:id="669" w:name="_Toc20706"/>
      <w:bookmarkStart w:id="670" w:name="_Toc529453130"/>
      <w:bookmarkStart w:id="671" w:name="_Toc528234266"/>
      <w:bookmarkStart w:id="672" w:name="_Toc527026582"/>
      <w:r>
        <w:rPr>
          <w:rFonts w:eastAsia="仿宋"/>
          <w:color w:val="000000" w:themeColor="text1"/>
          <w:kern w:val="0"/>
          <w:sz w:val="32"/>
          <w:szCs w:val="32"/>
          <w14:textFill>
            <w14:solidFill>
              <w14:schemeClr w14:val="tx1"/>
            </w14:solidFill>
          </w14:textFill>
        </w:rPr>
        <w:t>集中式饮用水源地突发环境事件应急处置所需经费首先由事件责任单位承担。</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财政局应当对突发饮用水源环境事件应急工作和环境应急能力建设给予有力支持，为突发饮用水源环境事件应急处置工作提供资金保障。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73" w:name="_Toc28174"/>
      <w:r>
        <w:rPr>
          <w:rFonts w:hint="eastAsia" w:eastAsia="仿宋"/>
          <w:b/>
          <w:color w:val="000000" w:themeColor="text1"/>
          <w:sz w:val="32"/>
          <w:szCs w:val="32"/>
          <w14:textFill>
            <w14:solidFill>
              <w14:schemeClr w14:val="tx1"/>
            </w14:solidFill>
          </w14:textFill>
        </w:rPr>
        <w:t>5.5其他保障</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74" w:name="_Toc523153554"/>
      <w:bookmarkStart w:id="675" w:name="_Toc28523"/>
      <w:bookmarkStart w:id="676" w:name="_Toc518463515"/>
      <w:bookmarkStart w:id="677" w:name="_Toc523220123"/>
      <w:bookmarkStart w:id="678" w:name="_Toc32079"/>
      <w:bookmarkStart w:id="679" w:name="_Toc527026583"/>
      <w:bookmarkStart w:id="680" w:name="_Toc30174"/>
      <w:r>
        <w:rPr>
          <w:rFonts w:hint="eastAsia" w:eastAsia="仿宋"/>
          <w:b/>
          <w:color w:val="000000" w:themeColor="text1"/>
          <w:sz w:val="32"/>
          <w:szCs w:val="32"/>
          <w14:textFill>
            <w14:solidFill>
              <w14:schemeClr w14:val="tx1"/>
            </w14:solidFill>
          </w14:textFill>
        </w:rPr>
        <w:t>5.5.1物资、设备设施运输保障</w:t>
      </w:r>
      <w:bookmarkEnd w:id="674"/>
      <w:bookmarkEnd w:id="675"/>
      <w:bookmarkEnd w:id="676"/>
      <w:bookmarkEnd w:id="677"/>
      <w:bookmarkEnd w:id="678"/>
      <w:bookmarkEnd w:id="679"/>
      <w:bookmarkEnd w:id="68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区交通运输局根据应急指挥部的指令，负责保证应急处置状态下应急处置物资和设备设施的运输保障，应急交通工具优先安排、优先调度。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区消防大队根据应急指挥部的指令，负责协助清理现场，调配消防车辆向供水重点保障区域和缺水区域应急送水。</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81" w:name="_Toc2040"/>
      <w:bookmarkStart w:id="682" w:name="_Toc523153555"/>
      <w:bookmarkStart w:id="683" w:name="_Toc527026584"/>
      <w:bookmarkStart w:id="684" w:name="_Toc518463516"/>
      <w:bookmarkStart w:id="685" w:name="_Toc523220124"/>
      <w:bookmarkStart w:id="686" w:name="_Toc26685"/>
      <w:bookmarkStart w:id="687" w:name="_Toc7715"/>
      <w:r>
        <w:rPr>
          <w:rFonts w:hint="eastAsia" w:eastAsia="仿宋"/>
          <w:b/>
          <w:color w:val="000000" w:themeColor="text1"/>
          <w:sz w:val="32"/>
          <w:szCs w:val="32"/>
          <w14:textFill>
            <w14:solidFill>
              <w14:schemeClr w14:val="tx1"/>
            </w14:solidFill>
          </w14:textFill>
        </w:rPr>
        <w:t>5.5.2医疗卫生救助保障</w:t>
      </w:r>
      <w:bookmarkEnd w:id="681"/>
      <w:bookmarkEnd w:id="682"/>
      <w:bookmarkEnd w:id="683"/>
      <w:bookmarkEnd w:id="684"/>
      <w:bookmarkEnd w:id="685"/>
      <w:bookmarkEnd w:id="686"/>
      <w:bookmarkEnd w:id="687"/>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卫生健康局负责完善应急救援机制，储备医疗救治、检测检验等卫生应急物资。主要负责对供水单位的卫生监督；开展水源水、出厂水、管网末梢水、二次供水的水质监测；对发生突发环境事件造成的人员伤亡及时组织医疗急救。</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88" w:name="_Toc523220125"/>
      <w:bookmarkStart w:id="689" w:name="_Toc15891"/>
      <w:bookmarkStart w:id="690" w:name="_Toc523153556"/>
      <w:bookmarkStart w:id="691" w:name="_Toc5302"/>
      <w:bookmarkStart w:id="692" w:name="_Toc527026585"/>
      <w:bookmarkStart w:id="693" w:name="_Toc518463517"/>
      <w:bookmarkStart w:id="694" w:name="_Toc16642"/>
      <w:r>
        <w:rPr>
          <w:rFonts w:hint="eastAsia" w:eastAsia="仿宋"/>
          <w:b/>
          <w:color w:val="000000" w:themeColor="text1"/>
          <w:sz w:val="32"/>
          <w:szCs w:val="32"/>
          <w14:textFill>
            <w14:solidFill>
              <w14:schemeClr w14:val="tx1"/>
            </w14:solidFill>
          </w14:textFill>
        </w:rPr>
        <w:t>5.5.3治安和人员安全保障</w:t>
      </w:r>
      <w:bookmarkEnd w:id="688"/>
      <w:bookmarkEnd w:id="689"/>
      <w:bookmarkEnd w:id="690"/>
      <w:bookmarkEnd w:id="691"/>
      <w:bookmarkEnd w:id="692"/>
      <w:bookmarkEnd w:id="693"/>
      <w:bookmarkEnd w:id="69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生饮用水源地突发环境事件时，区公安部门根据现场应急指挥部指令，依据相关规定实施治安维护工作，及时做好人员疏散、现场控制、交通管制等工作，采取有力措施防止不法人员趁乱抢劫、盗窃或哄抢财物，依法打击破坏社会秩序的行为，维护社会稳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区应急管理局根据现场应急指挥部的指令，组织协调受灾群众的安置和救助工作，并指导相关部门向群众分发救灾物资。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现场处置人员应根据事件特征，配置相应的专业防护装备，采取安全防护措施，严格执行应急处置程序。</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95" w:name="_Toc10098"/>
      <w:bookmarkStart w:id="696" w:name="_Toc523220126"/>
      <w:bookmarkStart w:id="697" w:name="_Toc523153557"/>
      <w:bookmarkStart w:id="698" w:name="_Toc527026586"/>
      <w:bookmarkStart w:id="699" w:name="_Toc9803"/>
      <w:r>
        <w:rPr>
          <w:rFonts w:hint="eastAsia" w:eastAsia="仿宋"/>
          <w:b/>
          <w:color w:val="000000" w:themeColor="text1"/>
          <w:sz w:val="32"/>
          <w:szCs w:val="32"/>
          <w14:textFill>
            <w14:solidFill>
              <w14:schemeClr w14:val="tx1"/>
            </w14:solidFill>
          </w14:textFill>
        </w:rPr>
        <w:t>5.5.4社会动员保障</w:t>
      </w:r>
      <w:bookmarkEnd w:id="695"/>
      <w:bookmarkEnd w:id="696"/>
      <w:bookmarkEnd w:id="697"/>
      <w:bookmarkEnd w:id="698"/>
      <w:bookmarkEnd w:id="69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事发地各镇政府制定社会动员方案，明确动员的条件、范围、程序和相关的保障措施，运用各种形式，将水源地突发环境事件发生和影响范围的对象动员起来，共同参与和配合水源地突发环境事件的应急处置。</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700" w:name="_Toc529453131"/>
      <w:bookmarkStart w:id="701" w:name="_Toc523219614"/>
      <w:bookmarkStart w:id="702" w:name="_Toc528234267"/>
      <w:bookmarkStart w:id="703" w:name="_Toc25943"/>
      <w:bookmarkStart w:id="704" w:name="_Toc527026587"/>
      <w:bookmarkStart w:id="705" w:name="_Toc522893256"/>
      <w:bookmarkStart w:id="706" w:name="_Toc523223373"/>
      <w:bookmarkStart w:id="707" w:name="_Toc1876"/>
      <w:bookmarkStart w:id="708" w:name="_Toc523220127"/>
      <w:bookmarkStart w:id="709" w:name="_Toc10659"/>
      <w:bookmarkStart w:id="710" w:name="_Toc523223913"/>
      <w:bookmarkStart w:id="711" w:name="_Toc523219325"/>
      <w:bookmarkStart w:id="712" w:name="_Toc529453285"/>
      <w:bookmarkStart w:id="713" w:name="_Toc523153558"/>
      <w:bookmarkStart w:id="714" w:name="_Toc14205"/>
      <w:r>
        <w:rPr>
          <w:rFonts w:hint="eastAsia" w:eastAsia="黑体"/>
          <w:bCs/>
          <w:color w:val="000000" w:themeColor="text1"/>
          <w:sz w:val="32"/>
          <w:szCs w:val="32"/>
          <w14:textFill>
            <w14:solidFill>
              <w14:schemeClr w14:val="tx1"/>
            </w14:solidFill>
          </w14:textFill>
        </w:rPr>
        <w:t>6附则</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15" w:name="_Toc523219615"/>
      <w:bookmarkStart w:id="716" w:name="_Toc527026588"/>
      <w:bookmarkStart w:id="717" w:name="_Toc523219326"/>
      <w:bookmarkStart w:id="718" w:name="_Toc523220128"/>
      <w:bookmarkStart w:id="719" w:name="_Toc27562"/>
      <w:bookmarkStart w:id="720" w:name="_Toc1087"/>
      <w:bookmarkStart w:id="721" w:name="_Toc529453132"/>
      <w:bookmarkStart w:id="722" w:name="_Toc523153559"/>
      <w:bookmarkStart w:id="723" w:name="_Toc528234268"/>
      <w:bookmarkStart w:id="724" w:name="_Toc523223374"/>
      <w:bookmarkStart w:id="725" w:name="_Toc11090"/>
      <w:bookmarkStart w:id="726" w:name="_Toc523223914"/>
      <w:bookmarkStart w:id="727" w:name="_Toc529453286"/>
      <w:bookmarkStart w:id="728" w:name="_Toc522893257"/>
      <w:bookmarkStart w:id="729" w:name="_Toc4695"/>
      <w:r>
        <w:rPr>
          <w:rFonts w:hint="eastAsia" w:eastAsia="仿宋"/>
          <w:b/>
          <w:color w:val="000000" w:themeColor="text1"/>
          <w:sz w:val="32"/>
          <w:szCs w:val="32"/>
          <w14:textFill>
            <w14:solidFill>
              <w14:schemeClr w14:val="tx1"/>
            </w14:solidFill>
          </w14:textFill>
        </w:rPr>
        <w:t>6.1名词术语</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（1）集中式地表水饮用水水源地</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指进入输水管网、送到用户且具有一定取水规模（供水人口一般大于1000人）的在用、备用和规划的地表水饮用水水源地。依据取水口所在水体类型不同，可分为河流型水源地和湖泊（水库）型水源地。</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（2）饮用水水源保护区</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指国家为防治饮用水水源地污染、保障水源地环境质量而划定，并要求加以特殊保护的一定面积的水域和陆域。饮用水水源保护区分为一级保护区和二级保护区，必要时可在水源保护区外划定准保护区。</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（3）地表水饮用水水源地风险物质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指《地表水环境质量标准》中表1、表2和表3所包含的项目与物质，以及该标准之外其他可能影响人体健康的项目与物质。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（4）危险化学品</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指具有毒害、腐蚀、爆炸、燃烧、助燃等性质，对人体、设施、环境具有危害的剧毒化学品和其他化学品。</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（5）饮用水水源地突发环境事件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（6）水质超标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指水源地水质超过《地表水环境质量标准》规定的Ⅲ类水质标准或标准限值的要求。</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地表水环境质量标准》未包括的项目，可根据物质本身的危害特性和有关供水单位的净化能力，参考国外有关标准（如世界卫生组织、美国环境保护署等）规定的浓度值，由市、县级人民政府组织有关部门会商或依据应急专家组意见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（7）应急处置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指对即将发生或正在发生或已经发生的突发环境事件所采取的一系列的应急响应措施。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（8）泄漏处理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泄漏处理是指对危险化学品、危险废物、放射性物质、有毒气体等污染源因事件发生泄漏时的所采取的应急处置措施。泄漏处理要及时、得当，避免重大事件的发生。泄漏处理一般分为泄漏源控制和泄漏物处置两部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（9）应急监测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环境应急情况下，为发现和查明环境污染情况和污染范围而进行的环境监测。包括定点监测和动态监测。</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30" w:name="_Toc523219327"/>
      <w:bookmarkStart w:id="731" w:name="_Toc4282"/>
      <w:bookmarkStart w:id="732" w:name="_Toc523219616"/>
      <w:bookmarkStart w:id="733" w:name="_Toc523223375"/>
      <w:bookmarkStart w:id="734" w:name="_Toc523220129"/>
      <w:bookmarkStart w:id="735" w:name="_Toc528234269"/>
      <w:bookmarkStart w:id="736" w:name="_Toc523223915"/>
      <w:bookmarkStart w:id="737" w:name="_Toc529453287"/>
      <w:bookmarkStart w:id="738" w:name="_Toc523153560"/>
      <w:bookmarkStart w:id="739" w:name="_Toc527026589"/>
      <w:bookmarkStart w:id="740" w:name="_Toc25931"/>
      <w:bookmarkStart w:id="741" w:name="_Toc529453133"/>
      <w:bookmarkStart w:id="742" w:name="_Toc522893258"/>
      <w:bookmarkStart w:id="743" w:name="_Toc29523"/>
      <w:bookmarkStart w:id="744" w:name="_Toc5029"/>
      <w:r>
        <w:rPr>
          <w:rFonts w:hint="eastAsia" w:eastAsia="仿宋"/>
          <w:b/>
          <w:color w:val="000000" w:themeColor="text1"/>
          <w:sz w:val="32"/>
          <w:szCs w:val="32"/>
          <w14:textFill>
            <w14:solidFill>
              <w14:schemeClr w14:val="tx1"/>
            </w14:solidFill>
          </w14:textFill>
        </w:rPr>
        <w:t>6.2预案解释权属</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widowControl/>
        <w:autoSpaceDE w:val="0"/>
        <w:adjustRightInd w:val="0"/>
        <w:snapToGrid w:val="0"/>
        <w:spacing w:line="324" w:lineRule="auto"/>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本预案由</w:t>
      </w:r>
      <w:r>
        <w:rPr>
          <w:rFonts w:hint="eastAsia" w:eastAsia="仿宋"/>
          <w:color w:val="000000" w:themeColor="text1"/>
          <w:kern w:val="0"/>
          <w:sz w:val="32"/>
          <w:szCs w:val="32"/>
          <w14:textFill>
            <w14:solidFill>
              <w14:schemeClr w14:val="tx1"/>
            </w14:solidFill>
          </w14:textFill>
        </w:rPr>
        <w:t>莆田市</w:t>
      </w:r>
      <w:r>
        <w:rPr>
          <w:rFonts w:eastAsia="仿宋"/>
          <w:color w:val="000000" w:themeColor="text1"/>
          <w:kern w:val="0"/>
          <w:sz w:val="32"/>
          <w:szCs w:val="32"/>
          <w14:textFill>
            <w14:solidFill>
              <w14:schemeClr w14:val="tx1"/>
            </w14:solidFill>
          </w14:textFill>
        </w:rPr>
        <w:t>城厢</w:t>
      </w:r>
      <w:r>
        <w:rPr>
          <w:rFonts w:hint="eastAsia" w:eastAsia="仿宋"/>
          <w:color w:val="000000" w:themeColor="text1"/>
          <w:kern w:val="0"/>
          <w:sz w:val="32"/>
          <w:szCs w:val="32"/>
          <w14:textFill>
            <w14:solidFill>
              <w14:schemeClr w14:val="tx1"/>
            </w14:solidFill>
          </w14:textFill>
        </w:rPr>
        <w:t>生态环境</w:t>
      </w:r>
      <w:r>
        <w:rPr>
          <w:rFonts w:eastAsia="仿宋"/>
          <w:color w:val="000000" w:themeColor="text1"/>
          <w:kern w:val="0"/>
          <w:sz w:val="32"/>
          <w:szCs w:val="32"/>
          <w14:textFill>
            <w14:solidFill>
              <w14:schemeClr w14:val="tx1"/>
            </w14:solidFill>
          </w14:textFill>
        </w:rPr>
        <w:t>局</w:t>
      </w:r>
      <w:r>
        <w:rPr>
          <w:rFonts w:hint="eastAsia" w:eastAsia="仿宋"/>
          <w:color w:val="000000" w:themeColor="text1"/>
          <w:kern w:val="0"/>
          <w:sz w:val="32"/>
          <w:szCs w:val="32"/>
          <w14:textFill>
            <w14:solidFill>
              <w14:schemeClr w14:val="tx1"/>
            </w14:solidFill>
          </w14:textFill>
        </w:rPr>
        <w:t>负责解释。</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45" w:name="_Toc523220130"/>
      <w:bookmarkStart w:id="746" w:name="_Toc14411"/>
      <w:bookmarkStart w:id="747" w:name="_Toc527026590"/>
      <w:bookmarkStart w:id="748" w:name="_Toc528234270"/>
      <w:bookmarkStart w:id="749" w:name="_Toc523153561"/>
      <w:bookmarkStart w:id="750" w:name="_Toc523219617"/>
      <w:bookmarkStart w:id="751" w:name="_Toc523223376"/>
      <w:bookmarkStart w:id="752" w:name="_Toc529453134"/>
      <w:bookmarkStart w:id="753" w:name="_Toc529453288"/>
      <w:bookmarkStart w:id="754" w:name="_Toc26787"/>
      <w:bookmarkStart w:id="755" w:name="_Toc522893259"/>
      <w:bookmarkStart w:id="756" w:name="_Toc523219328"/>
      <w:bookmarkStart w:id="757" w:name="_Toc2957"/>
      <w:bookmarkStart w:id="758" w:name="_Toc17668"/>
      <w:bookmarkStart w:id="759" w:name="_Toc523223916"/>
      <w:r>
        <w:rPr>
          <w:rFonts w:hint="eastAsia" w:eastAsia="仿宋"/>
          <w:b/>
          <w:color w:val="000000" w:themeColor="text1"/>
          <w:sz w:val="32"/>
          <w:szCs w:val="32"/>
          <w14:textFill>
            <w14:solidFill>
              <w14:schemeClr w14:val="tx1"/>
            </w14:solidFill>
          </w14:textFill>
        </w:rPr>
        <w:t>6.3预案演练和修订</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760" w:name="_Toc5739"/>
      <w:bookmarkStart w:id="761" w:name="_Toc523153562"/>
      <w:bookmarkStart w:id="762" w:name="_Toc523220131"/>
      <w:bookmarkStart w:id="763" w:name="_Toc527026591"/>
      <w:bookmarkStart w:id="764" w:name="_Toc518463522"/>
      <w:bookmarkStart w:id="765" w:name="_Toc169"/>
      <w:r>
        <w:rPr>
          <w:rFonts w:hint="eastAsia" w:eastAsia="仿宋"/>
          <w:b/>
          <w:color w:val="000000" w:themeColor="text1"/>
          <w:sz w:val="32"/>
          <w:szCs w:val="32"/>
          <w14:textFill>
            <w14:solidFill>
              <w14:schemeClr w14:val="tx1"/>
            </w14:solidFill>
          </w14:textFill>
        </w:rPr>
        <w:t>6.3.1预案演练</w:t>
      </w:r>
      <w:bookmarkEnd w:id="760"/>
      <w:bookmarkEnd w:id="761"/>
      <w:bookmarkEnd w:id="762"/>
      <w:bookmarkEnd w:id="763"/>
      <w:bookmarkEnd w:id="764"/>
      <w:bookmarkEnd w:id="76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（1）应急预案演练</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定期举行包括水华灾害事件等不同类型水源地突发环境事件的应急演练，以检验、改善和强化应急准备和应急响应能力。演练内容主要包括通讯系统是否正常运作、信息报送流程是否畅通、各应急工作组配合是否协调、应急人员能力是否满足需要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（2）演练目的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①使参加应急响应的各部门熟悉、掌握各自所在应急响应行动中的职责，加强各部门之间的协同能力。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②保证应急响应各有关环节快速、协调、有效地运作。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③考核部门应急响应人员对所学理论与操作技能熟练掌握的程度。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④及时发现应急响应计划和应急响应系统存在的问题与不足之处，以便予以改进和完善。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（3）演练规模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区饮用水源地应急指挥部应按照本预案，定期组织相关人员进行应急预案演练。演练规模可分为两种：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①全面、系统的演练，以检验整个应急响应系统各环节的有效性，每年组织至少一次。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②针对应急响应系统某个环节进行演练，以进一步完善应急反应预案，也可增加应急响应人员熟悉应急反应行动的机会。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（4）演练记录和评价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区饮用水源地应急办应对演练情况予以记录，并妥善保存备查。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演练结束后，区饮用水源地应急指挥部应对演练情况进行总结评估，并根据演练结果及时修订完善。评估的内容可包括：演练的执行情况，预案的合理性与可操作性，指挥协调和应急联动情况，应急人员的处置情况，演练所用设备装备的适用性，对完善预案、应急准备、应急机制、应急措施等方面的意见和建议等。</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766" w:name="_Toc16052"/>
      <w:bookmarkStart w:id="767" w:name="_Toc10496"/>
      <w:bookmarkStart w:id="768" w:name="_Toc523220132"/>
      <w:bookmarkStart w:id="769" w:name="_Toc518463523"/>
      <w:bookmarkStart w:id="770" w:name="_Toc527026592"/>
      <w:bookmarkStart w:id="771" w:name="_Toc523153563"/>
      <w:r>
        <w:rPr>
          <w:rFonts w:hint="eastAsia" w:eastAsia="仿宋"/>
          <w:b/>
          <w:color w:val="000000" w:themeColor="text1"/>
          <w:sz w:val="32"/>
          <w:szCs w:val="32"/>
          <w14:textFill>
            <w14:solidFill>
              <w14:schemeClr w14:val="tx1"/>
            </w14:solidFill>
          </w14:textFill>
        </w:rPr>
        <w:t>6.3.2预案修订</w:t>
      </w:r>
      <w:bookmarkEnd w:id="766"/>
      <w:bookmarkEnd w:id="767"/>
      <w:bookmarkEnd w:id="768"/>
      <w:bookmarkEnd w:id="769"/>
      <w:bookmarkEnd w:id="770"/>
      <w:bookmarkEnd w:id="77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本预案每三年进行一次评估，必要时进行修订。当环境应急管理的政策法规发生重大变化或成员单位职责、应急资源发生变化，或者应急过程中发现存在问题和出现新的情况，根据情况对本预案进行修改。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本预案由城厢</w:t>
      </w:r>
      <w:r>
        <w:rPr>
          <w:rFonts w:hint="eastAsia" w:eastAsia="仿宋"/>
          <w:color w:val="000000" w:themeColor="text1"/>
          <w:kern w:val="0"/>
          <w:sz w:val="32"/>
          <w:szCs w:val="32"/>
          <w14:textFill>
            <w14:solidFill>
              <w14:schemeClr w14:val="tx1"/>
            </w14:solidFill>
          </w14:textFill>
        </w:rPr>
        <w:t>生态环境</w:t>
      </w:r>
      <w:r>
        <w:rPr>
          <w:rFonts w:eastAsia="仿宋"/>
          <w:color w:val="000000" w:themeColor="text1"/>
          <w:kern w:val="0"/>
          <w:sz w:val="32"/>
          <w:szCs w:val="32"/>
          <w14:textFill>
            <w14:solidFill>
              <w14:schemeClr w14:val="tx1"/>
            </w14:solidFill>
          </w14:textFill>
        </w:rPr>
        <w:t>局</w:t>
      </w:r>
      <w:r>
        <w:rPr>
          <w:rFonts w:hint="eastAsia" w:eastAsia="仿宋"/>
          <w:color w:val="000000" w:themeColor="text1"/>
          <w:kern w:val="0"/>
          <w:sz w:val="32"/>
          <w:szCs w:val="32"/>
          <w14:textFill>
            <w14:solidFill>
              <w14:schemeClr w14:val="tx1"/>
            </w14:solidFill>
          </w14:textFill>
        </w:rPr>
        <w:t>牵头</w:t>
      </w:r>
      <w:r>
        <w:rPr>
          <w:rFonts w:eastAsia="仿宋"/>
          <w:color w:val="000000" w:themeColor="text1"/>
          <w:kern w:val="0"/>
          <w:sz w:val="32"/>
          <w:szCs w:val="32"/>
          <w14:textFill>
            <w14:solidFill>
              <w14:schemeClr w14:val="tx1"/>
            </w14:solidFill>
          </w14:textFill>
        </w:rPr>
        <w:t>制订、修订、更新，报区政府批准执行。</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72" w:name="_Toc529453135"/>
      <w:bookmarkStart w:id="773" w:name="_Toc523220133"/>
      <w:bookmarkStart w:id="774" w:name="_Toc523223377"/>
      <w:bookmarkStart w:id="775" w:name="_Toc523219329"/>
      <w:bookmarkStart w:id="776" w:name="_Toc522893260"/>
      <w:bookmarkStart w:id="777" w:name="_Toc523219618"/>
      <w:bookmarkStart w:id="778" w:name="_Toc528234271"/>
      <w:bookmarkStart w:id="779" w:name="_Toc29582"/>
      <w:bookmarkStart w:id="780" w:name="_Toc29836"/>
      <w:bookmarkStart w:id="781" w:name="_Toc24625"/>
      <w:bookmarkStart w:id="782" w:name="_Toc529453289"/>
      <w:bookmarkStart w:id="783" w:name="_Toc527026593"/>
      <w:bookmarkStart w:id="784" w:name="_Toc523153564"/>
      <w:bookmarkStart w:id="785" w:name="_Toc523223917"/>
      <w:bookmarkStart w:id="786" w:name="_Toc10261"/>
      <w:r>
        <w:rPr>
          <w:rFonts w:hint="eastAsia" w:eastAsia="仿宋"/>
          <w:b/>
          <w:color w:val="000000" w:themeColor="text1"/>
          <w:sz w:val="32"/>
          <w:szCs w:val="32"/>
          <w14:textFill>
            <w14:solidFill>
              <w14:schemeClr w14:val="tx1"/>
            </w14:solidFill>
          </w14:textFill>
        </w:rPr>
        <w:t>6.4预案实施日期</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本预案自印发之日起实施，原城厢区集中式饮用水源地</w:t>
      </w:r>
      <w:bookmarkStart w:id="937" w:name="_GoBack"/>
      <w:bookmarkEnd w:id="937"/>
      <w:r>
        <w:rPr>
          <w:rFonts w:hint="eastAsia" w:eastAsia="仿宋"/>
          <w:color w:val="000000" w:themeColor="text1"/>
          <w:kern w:val="0"/>
          <w:sz w:val="32"/>
          <w:szCs w:val="32"/>
          <w14:textFill>
            <w14:solidFill>
              <w14:schemeClr w14:val="tx1"/>
            </w14:solidFill>
          </w14:textFill>
        </w:rPr>
        <w:t>突发环境事件应急预案（CXYYS-2014-01）同时废止。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sectPr>
          <w:pgSz w:w="11906" w:h="16838"/>
          <w:pgMar w:top="1440" w:right="1800" w:bottom="1440" w:left="1800" w:header="851" w:footer="454" w:gutter="0"/>
          <w:cols w:space="720" w:num="1"/>
          <w:docGrid w:type="lines" w:linePitch="381" w:charSpace="0"/>
        </w:sectPr>
      </w:pPr>
      <w:bookmarkStart w:id="787" w:name="_Toc523219330"/>
      <w:bookmarkStart w:id="788" w:name="_Toc21341"/>
      <w:bookmarkStart w:id="789" w:name="_Toc523223918"/>
      <w:bookmarkStart w:id="790" w:name="_Toc529453290"/>
      <w:bookmarkStart w:id="791" w:name="_Toc15050"/>
      <w:bookmarkStart w:id="792" w:name="_Toc523223378"/>
      <w:bookmarkStart w:id="793" w:name="_Toc527026594"/>
      <w:bookmarkStart w:id="794" w:name="_Toc523219619"/>
      <w:bookmarkStart w:id="795" w:name="_Toc528234272"/>
      <w:bookmarkStart w:id="796" w:name="_Toc523220134"/>
      <w:bookmarkStart w:id="797" w:name="_Toc523153565"/>
      <w:bookmarkStart w:id="798" w:name="_Toc529453136"/>
    </w:p>
    <w:bookmarkEnd w:id="787"/>
    <w:bookmarkEnd w:id="788"/>
    <w:bookmarkEnd w:id="789"/>
    <w:bookmarkEnd w:id="790"/>
    <w:bookmarkEnd w:id="791"/>
    <w:bookmarkEnd w:id="792"/>
    <w:bookmarkEnd w:id="793"/>
    <w:bookmarkEnd w:id="794"/>
    <w:bookmarkEnd w:id="795"/>
    <w:bookmarkEnd w:id="796"/>
    <w:bookmarkEnd w:id="797"/>
    <w:bookmarkEnd w:id="798"/>
    <w:p>
      <w:pPr>
        <w:jc w:val="left"/>
        <w:outlineLvl w:val="1"/>
        <w:rPr>
          <w:rFonts w:ascii="黑体" w:hAnsi="黑体" w:eastAsia="黑体"/>
          <w:color w:val="000000" w:themeColor="text1"/>
          <w:sz w:val="32"/>
          <w:szCs w:val="32"/>
          <w14:textFill>
            <w14:solidFill>
              <w14:schemeClr w14:val="tx1"/>
            </w14:solidFill>
          </w14:textFill>
        </w:rPr>
      </w:pPr>
      <w:bookmarkStart w:id="799" w:name="_Toc529453293"/>
      <w:bookmarkStart w:id="800" w:name="_Toc529453139"/>
      <w:bookmarkStart w:id="801" w:name="_Toc16958"/>
      <w:bookmarkStart w:id="802" w:name="_Toc7151"/>
      <w:bookmarkStart w:id="803" w:name="_Toc528234276"/>
      <w:bookmarkStart w:id="804" w:name="_Toc24996"/>
      <w:r>
        <w:rPr>
          <w:rFonts w:hint="eastAsia" w:ascii="黑体" w:hAnsi="黑体" w:eastAsia="黑体" w:cs="黑体"/>
          <w:color w:val="000000" w:themeColor="text1"/>
          <w:sz w:val="24"/>
          <w:szCs w:val="24"/>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：城厢区集中式地表水饮用水水源地突发环境事件应急组织指挥体系框架图</w:t>
      </w:r>
      <w:bookmarkEnd w:id="799"/>
      <w:bookmarkEnd w:id="800"/>
      <w:bookmarkEnd w:id="801"/>
      <w:bookmarkEnd w:id="802"/>
      <w:bookmarkEnd w:id="803"/>
      <w:bookmarkEnd w:id="804"/>
    </w:p>
    <w:p>
      <w:pPr>
        <w:rPr>
          <w:color w:val="000000" w:themeColor="text1"/>
          <w14:textFill>
            <w14:solidFill>
              <w14:schemeClr w14:val="tx1"/>
            </w14:solidFill>
          </w14:textFill>
        </w:rPr>
        <w:sectPr>
          <w:pgSz w:w="16838" w:h="11906" w:orient="landscape"/>
          <w:pgMar w:top="1440" w:right="1800" w:bottom="1440" w:left="1800" w:header="851" w:footer="992" w:gutter="0"/>
          <w:cols w:space="425" w:num="1"/>
          <w:docGrid w:type="linesAndChars" w:linePitch="381" w:charSpace="0"/>
        </w:sectPr>
      </w:pP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7452360</wp:posOffset>
                </wp:positionH>
                <wp:positionV relativeFrom="paragraph">
                  <wp:posOffset>1849755</wp:posOffset>
                </wp:positionV>
                <wp:extent cx="6985" cy="275590"/>
                <wp:effectExtent l="51435" t="0" r="63500" b="13970"/>
                <wp:wrapNone/>
                <wp:docPr id="37" name="直接箭头连接符 37"/>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6.8pt;margin-top:145.65pt;height:21.7pt;width:0.55pt;z-index:251682816;mso-width-relative:page;mso-height-relative:page;" filled="f" stroked="t" coordsize="21600,21600" o:gfxdata="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W2wdgAAAANAQAADwAAAAAA&#10;AAABACAAAAAiAAAAZHJzL2Rvd25yZXYueG1sUEsBAhQAFAAAAAgAh07iQEoCN28TAgAA/AMAAA4A&#10;AAAAAAAAAQAgAAAAJwEAAGRycy9lMm9Eb2MueG1sUEsFBgAAAAAGAAYAWQEAAKw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4347210</wp:posOffset>
                </wp:positionH>
                <wp:positionV relativeFrom="paragraph">
                  <wp:posOffset>1859280</wp:posOffset>
                </wp:positionV>
                <wp:extent cx="6985" cy="275590"/>
                <wp:effectExtent l="51435" t="0" r="63500" b="13970"/>
                <wp:wrapNone/>
                <wp:docPr id="42" name="直接箭头连接符 42"/>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3pt;margin-top:146.4pt;height:21.7pt;width:0.55pt;z-index:251685888;mso-width-relative:page;mso-height-relative:page;" filled="f" stroked="t" coordsize="21600,21600" o:gfxdata="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y/c/dgAAAALAQAADwAAAAAA&#10;AAABACAAAAAiAAAAZHJzL2Rvd25yZXYueG1sUEsBAhQAFAAAAAgAh07iQIvCdfgTAgAA/AMAAA4A&#10;AAAAAAAAAQAgAAAAJwEAAGRycy9lMm9Eb2MueG1sUEsFBgAAAAAGAAYAWQEAAKw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746760</wp:posOffset>
                </wp:positionH>
                <wp:positionV relativeFrom="paragraph">
                  <wp:posOffset>1830705</wp:posOffset>
                </wp:positionV>
                <wp:extent cx="6715125" cy="889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6715125" cy="889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58.8pt;margin-top:144.15pt;height:0.7pt;width:528.75pt;z-index:251673600;mso-width-relative:page;mso-height-relative:page;" filled="f" stroked="t" coordsize="21600,21600" o:gfxdata="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Pz&#10;2XLYAAAADAEAAA8AAAAAAAAAAQAgAAAAIgAAAGRycy9kb3ducmV2LnhtbFBLAQIUABQAAAAIAIdO&#10;4kBamb986gEAALgDAAAOAAAAAAAAAAEAIAAAACcBAABkcnMvZTJvRG9jLnhtbFBLBQYAAAAABgAG&#10;AFkBAACDBQ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5518785</wp:posOffset>
                </wp:positionH>
                <wp:positionV relativeFrom="paragraph">
                  <wp:posOffset>1830705</wp:posOffset>
                </wp:positionV>
                <wp:extent cx="0" cy="351790"/>
                <wp:effectExtent l="53975" t="0" r="67945" b="13970"/>
                <wp:wrapNone/>
                <wp:docPr id="38" name="直接箭头连接符 38"/>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434.55pt;margin-top:144.15pt;height:27.7pt;width:0pt;z-index:251683840;mso-width-relative:page;mso-height-relative:page;" filled="f" stroked="t" coordsize="21600,21600" o:gfxdata="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WZZePWAAAACwEAAA8AAAAAAAAAAQAgAAAA&#10;IgAAAGRycy9kb3ducmV2LnhtbFBLAQIUABQAAAAIAIdO4kBz4/pgDQIAAPkDAAAOAAAAAAAAAAEA&#10;IAAAACUBAABkcnMvZTJvRG9jLnhtbFBLBQYAAAAABgAGAFkBAACk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7467600</wp:posOffset>
                </wp:positionH>
                <wp:positionV relativeFrom="paragraph">
                  <wp:posOffset>2497455</wp:posOffset>
                </wp:positionV>
                <wp:extent cx="10795" cy="481330"/>
                <wp:effectExtent l="52070" t="0" r="59055" b="6350"/>
                <wp:wrapNone/>
                <wp:docPr id="44" name="直接箭头连接符 44"/>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8pt;margin-top:196.65pt;height:37.9pt;width:0.85pt;z-index:251687936;mso-width-relative:page;mso-height-relative:page;" filled="f" stroked="t" coordsize="21600,21600" o:gfxdata="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6P3bXYAAAADQEAAA8AAAAA&#10;AAAAAQAgAAAAIgAAAGRycy9kb3ducmV2LnhtbFBLAQIUABQAAAAIAIdO4kCBaN20FAIAAP0DAAAO&#10;AAAAAAAAAAEAIAAAACcBAABkcnMvZTJvRG9jLnhtbFBLBQYAAAAABgAGAFkBAACt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6944995</wp:posOffset>
                </wp:positionH>
                <wp:positionV relativeFrom="paragraph">
                  <wp:posOffset>2164715</wp:posOffset>
                </wp:positionV>
                <wp:extent cx="1010920" cy="314325"/>
                <wp:effectExtent l="9525" t="0" r="15875" b="11430"/>
                <wp:wrapNone/>
                <wp:docPr id="18" name="文本框 18"/>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综合组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85pt;margin-top:170.45pt;height:24.75pt;width:79.6pt;z-index:251672576;mso-width-relative:page;mso-height-relative:page;" fillcolor="#FFFFFF" filled="t" stroked="t" coordsize="21600,21600" o:gfxdata="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e0dh9kAAAANAQAADwAAAAAAAAABACAAAAAiAAAAZHJzL2Rvd25yZXYueG1sUEsBAhQAFAAAAAgA&#10;h07iQAnHoTFdAgAAyAQAAA4AAAAAAAAAAQAgAAAAKAEAAGRycy9lMm9Eb2MueG1sUEsFBgAAAAAG&#10;AAYAWQEAAPcFAAAAAA==&#10;">
                <v:fill on="t" focussize="0,0"/>
                <v:stroke weight="1.5pt" color="#000000" joinstyle="round"/>
                <v:imagedata o:title=""/>
                <o:lock v:ext="edit" aspectratio="f"/>
                <v:textbox>
                  <w:txbxContent>
                    <w:p>
                      <w:pPr>
                        <w:jc w:val="center"/>
                      </w:pPr>
                      <w:r>
                        <w:rPr>
                          <w:rFonts w:hint="eastAsia" w:eastAsia="仿宋"/>
                          <w:b/>
                          <w:bCs/>
                          <w:kern w:val="0"/>
                          <w:sz w:val="24"/>
                          <w:szCs w:val="24"/>
                        </w:rPr>
                        <w:t>综合组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2719070</wp:posOffset>
                </wp:positionH>
                <wp:positionV relativeFrom="paragraph">
                  <wp:posOffset>2950210</wp:posOffset>
                </wp:positionV>
                <wp:extent cx="962025" cy="1504950"/>
                <wp:effectExtent l="9525" t="0" r="19050" b="9525"/>
                <wp:wrapNone/>
                <wp:docPr id="29" name="文本框 29"/>
                <wp:cNvGraphicFramePr/>
                <a:graphic xmlns:a="http://schemas.openxmlformats.org/drawingml/2006/main">
                  <a:graphicData uri="http://schemas.microsoft.com/office/word/2010/wordprocessingShape">
                    <wps:wsp>
                      <wps:cNvSpPr txBox="1"/>
                      <wps:spPr>
                        <a:xfrm>
                          <a:off x="0" y="0"/>
                          <a:ext cx="962025" cy="1504950"/>
                        </a:xfrm>
                        <a:prstGeom prst="rect">
                          <a:avLst/>
                        </a:prstGeom>
                        <a:solidFill>
                          <a:srgbClr val="FFFFFF"/>
                        </a:solidFill>
                        <a:ln w="19050">
                          <a:solidFill>
                            <a:prstClr val="black"/>
                          </a:solidFill>
                        </a:ln>
                        <a:effectLst/>
                      </wps:spPr>
                      <wps:txbx>
                        <w:txbxContent>
                          <w:p>
                            <w:pPr>
                              <w:jc w:val="center"/>
                            </w:pPr>
                            <w:r>
                              <w:rPr>
                                <w:lang w:val="zh-CN"/>
                              </w:rPr>
                              <w:t>由自来水厂、供水公司、各水库管理局等相关部门组成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1pt;margin-top:232.3pt;height:118.5pt;width:75.75pt;z-index:251676672;mso-width-relative:page;mso-height-relative:page;" fillcolor="#FFFFFF" filled="t" stroked="t" coordsize="21600,21600" o:gfxdata="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ubaOS2AAAAAsBAAAPAAAAAAAAAAEAIAAAACIAAABkcnMvZG93bnJldi54bWxQSwECFAAUAAAA&#10;CACHTuJAgqKCd2ACAADIBAAADgAAAAAAAAABACAAAAAnAQAAZHJzL2Uyb0RvYy54bWxQSwUGAAAA&#10;AAYABgBZAQAA+QUAAAAA&#10;">
                <v:fill on="t" focussize="0,0"/>
                <v:stroke weight="1.5pt" color="#000000" joinstyle="round"/>
                <v:imagedata o:title=""/>
                <o:lock v:ext="edit" aspectratio="f"/>
                <v:textbox>
                  <w:txbxContent>
                    <w:p>
                      <w:pPr>
                        <w:jc w:val="center"/>
                      </w:pPr>
                      <w:r>
                        <w:rPr>
                          <w:lang w:val="zh-CN"/>
                        </w:rPr>
                        <w:t>由自来水厂、供水公司、各水库管理局等相关部门组成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1737995</wp:posOffset>
                </wp:positionH>
                <wp:positionV relativeFrom="paragraph">
                  <wp:posOffset>2959735</wp:posOffset>
                </wp:positionV>
                <wp:extent cx="912495" cy="1076325"/>
                <wp:effectExtent l="9525" t="0" r="22860" b="11430"/>
                <wp:wrapNone/>
                <wp:docPr id="28" name="文本框 28"/>
                <wp:cNvGraphicFramePr/>
                <a:graphic xmlns:a="http://schemas.openxmlformats.org/drawingml/2006/main">
                  <a:graphicData uri="http://schemas.microsoft.com/office/word/2010/wordprocessingShape">
                    <wps:wsp>
                      <wps:cNvSpPr txBox="1"/>
                      <wps:spPr>
                        <a:xfrm>
                          <a:off x="0" y="0"/>
                          <a:ext cx="912495" cy="1076325"/>
                        </a:xfrm>
                        <a:prstGeom prst="rect">
                          <a:avLst/>
                        </a:prstGeom>
                        <a:solidFill>
                          <a:srgbClr val="FFFFFF"/>
                        </a:solidFill>
                        <a:ln w="19050">
                          <a:solidFill>
                            <a:prstClr val="black"/>
                          </a:solidFill>
                        </a:ln>
                        <a:effectLst/>
                      </wps:spPr>
                      <wps:txbx>
                        <w:txbxContent>
                          <w:p>
                            <w:pPr>
                              <w:jc w:val="center"/>
                            </w:pPr>
                            <w:r>
                              <w:rPr>
                                <w:color w:val="auto"/>
                                <w:lang w:val="zh-CN"/>
                              </w:rPr>
                              <w:t>由区生态环境局、卫生健康局</w:t>
                            </w:r>
                            <w:r>
                              <w:rPr>
                                <w:lang w:val="zh-CN"/>
                              </w:rPr>
                              <w:t>等相关部门组成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85pt;margin-top:233.05pt;height:84.75pt;width:71.85pt;z-index:251675648;mso-width-relative:page;mso-height-relative:page;" fillcolor="#FFFFFF" filled="t" stroked="t" coordsize="21600,21600" o:gfxdata="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TJe92AAAAAsBAAAPAAAAAAAAAAEAIAAAACIAAABkcnMvZG93bnJldi54bWxQSwECFAAUAAAA&#10;CACHTuJAGDMOFWACAADIBAAADgAAAAAAAAABACAAAAAnAQAAZHJzL2Uyb0RvYy54bWxQSwUGAAAA&#10;AAYABgBZAQAA+QUAAAAA&#10;">
                <v:fill on="t" focussize="0,0"/>
                <v:stroke weight="1.5pt" color="#000000" joinstyle="round"/>
                <v:imagedata o:title=""/>
                <o:lock v:ext="edit" aspectratio="f"/>
                <v:textbox>
                  <w:txbxContent>
                    <w:p>
                      <w:pPr>
                        <w:jc w:val="center"/>
                      </w:pPr>
                      <w:r>
                        <w:rPr>
                          <w:color w:val="auto"/>
                          <w:lang w:val="zh-CN"/>
                        </w:rPr>
                        <w:t>由区生态环境局、卫生健康局</w:t>
                      </w:r>
                      <w:r>
                        <w:rPr>
                          <w:lang w:val="zh-CN"/>
                        </w:rPr>
                        <w:t>等相关部门组成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2725420</wp:posOffset>
                </wp:positionV>
                <wp:extent cx="3810" cy="243840"/>
                <wp:effectExtent l="52705" t="0" r="65405" b="0"/>
                <wp:wrapNone/>
                <wp:docPr id="48" name="直接箭头连接符 48"/>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pt;margin-top:214.6pt;height:19.2pt;width:0.3pt;z-index:251691008;mso-width-relative:page;mso-height-relative:page;" filled="f" stroked="t" coordsize="21600,21600" o:gfxdata="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I7YQ9cAAAALAQAADwAAAAAAAAAB&#10;ACAAAAAiAAAAZHJzL2Rvd25yZXYueG1sUEsBAhQAFAAAAAgAh07iQL4yupYRAgAA/AMAAA4AAAAA&#10;AAAAAQAgAAAAJgEAAGRycy9lMm9Eb2MueG1sUEsFBgAAAAAGAAYAWQEAAKk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2204085</wp:posOffset>
                </wp:positionH>
                <wp:positionV relativeFrom="paragraph">
                  <wp:posOffset>1859280</wp:posOffset>
                </wp:positionV>
                <wp:extent cx="6985" cy="275590"/>
                <wp:effectExtent l="51435" t="0" r="63500" b="13970"/>
                <wp:wrapNone/>
                <wp:docPr id="35" name="直接箭头连接符 35"/>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173.55pt;margin-top:146.4pt;height:21.7pt;width:0.55pt;z-index:251680768;mso-width-relative:page;mso-height-relative:page;" filled="f" stroked="t" coordsize="21600,21600" o:gfxdata="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EpKc2AAAAAsBAAAPAAAAAAAA&#10;AAEAIAAAACIAAABkcnMvZG93bnJldi54bWxQSwECFAAUAAAACACHTuJAz0azLRICAAD8AwAADgAA&#10;AAAAAAABACAAAAAn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3232785</wp:posOffset>
                </wp:positionH>
                <wp:positionV relativeFrom="paragraph">
                  <wp:posOffset>1859280</wp:posOffset>
                </wp:positionV>
                <wp:extent cx="6985" cy="275590"/>
                <wp:effectExtent l="51435" t="0" r="63500" b="13970"/>
                <wp:wrapNone/>
                <wp:docPr id="36" name="直接箭头连接符 36"/>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254.55pt;margin-top:146.4pt;height:21.7pt;width:0.55pt;z-index:251681792;mso-width-relative:page;mso-height-relative:page;" filled="f" stroked="t" coordsize="21600,21600" o:gfxdata="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UXr1wAAAAsBAAAPAAAAAAAA&#10;AAEAIAAAACIAAABkcnMvZG93bnJldi54bWxQSwECFAAUAAAACACHTuJAKKPNoxMCAAD8AwAADgAA&#10;AAAAAAABACAAAAAm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3228975</wp:posOffset>
                </wp:positionH>
                <wp:positionV relativeFrom="paragraph">
                  <wp:posOffset>2706370</wp:posOffset>
                </wp:positionV>
                <wp:extent cx="3810" cy="243840"/>
                <wp:effectExtent l="52705" t="0" r="65405" b="0"/>
                <wp:wrapNone/>
                <wp:docPr id="46" name="直接箭头连接符 46"/>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254.25pt;margin-top:213.1pt;height:19.2pt;width:0.3pt;z-index:251689984;mso-width-relative:page;mso-height-relative:page;" filled="f" stroked="t" coordsize="21600,21600" o:gfxdata="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27FzXAAAACwEAAA8AAAAAAAAA&#10;AQAgAAAAIgAAAGRycy9kb3ducmV2LnhtbFBLAQIUABQAAAAIAIdO4kBk61aAEgIAAPwDAAAOAAAA&#10;AAAAAAEAIAAAACYBAABkcnMvZTJvRG9jLnhtbFBLBQYAAAAABgAGAFkBAACq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5534025</wp:posOffset>
                </wp:positionH>
                <wp:positionV relativeFrom="paragraph">
                  <wp:posOffset>2515870</wp:posOffset>
                </wp:positionV>
                <wp:extent cx="3810" cy="443865"/>
                <wp:effectExtent l="53340" t="0" r="64770" b="13335"/>
                <wp:wrapNone/>
                <wp:docPr id="45" name="直接箭头连接符 45"/>
                <wp:cNvGraphicFramePr/>
                <a:graphic xmlns:a="http://schemas.openxmlformats.org/drawingml/2006/main">
                  <a:graphicData uri="http://schemas.microsoft.com/office/word/2010/wordprocessingShape">
                    <wps:wsp>
                      <wps:cNvCnPr/>
                      <wps:spPr>
                        <a:xfrm flipV="1">
                          <a:off x="0" y="0"/>
                          <a:ext cx="3810" cy="443865"/>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435.75pt;margin-top:198.1pt;height:34.95pt;width:0.3pt;z-index:251688960;mso-width-relative:page;mso-height-relative:page;" filled="f" stroked="t" coordsize="21600,21600" o:gfxdata="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CX2krYAAAACwEAAA8AAAAAAAAA&#10;AQAgAAAAIgAAAGRycy9kb3ducmV2LnhtbFBLAQIUABQAAAAIAIdO4kDX//jgEQIAAPwDAAAOAAAA&#10;AAAAAAEAIAAAACcBAABkcnMvZTJvRG9jLnhtbFBLBQYAAAAABgAGAFkBAACq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2190750</wp:posOffset>
                </wp:positionH>
                <wp:positionV relativeFrom="paragraph">
                  <wp:posOffset>2497455</wp:posOffset>
                </wp:positionV>
                <wp:extent cx="10795" cy="481330"/>
                <wp:effectExtent l="52070" t="0" r="59055" b="6350"/>
                <wp:wrapNone/>
                <wp:docPr id="43" name="直接箭头连接符 43"/>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172.5pt;margin-top:196.65pt;height:37.9pt;width:0.85pt;z-index:251686912;mso-width-relative:page;mso-height-relative:page;" filled="f" stroked="t" coordsize="21600,21600" o:gfxdata="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4xTprYAAAACwEAAA8AAAAA&#10;AAAAAQAgAAAAIgAAAGRycy9kb3ducmV2LnhtbFBLAQIUABQAAAAIAIdO4kAogG1qFAIAAP0DAAAO&#10;AAAAAAAAAAEAIAAAACcBAABkcnMvZTJvRG9jLnhtbFBLBQYAAAAABgAGAFkBAACt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742950</wp:posOffset>
                </wp:positionH>
                <wp:positionV relativeFrom="paragraph">
                  <wp:posOffset>2478405</wp:posOffset>
                </wp:positionV>
                <wp:extent cx="10795" cy="481330"/>
                <wp:effectExtent l="52070" t="0" r="59055" b="6350"/>
                <wp:wrapNone/>
                <wp:docPr id="39" name="直接箭头连接符 39"/>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5pt;margin-top:195.15pt;height:37.9pt;width:0.85pt;z-index:251684864;mso-width-relative:page;mso-height-relative:page;" filled="f" stroked="t" coordsize="21600,21600" o:gfxdata="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2Y1gAAAAsBAAAPAAAAAAAA&#10;AAEAIAAAACIAAABkcnMvZG93bnJldi54bWxQSwECFAAUAAAACACHTuJACB35QxQCAAD9AwAADgAA&#10;AAAAAAABACAAAAAl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5039995</wp:posOffset>
                </wp:positionH>
                <wp:positionV relativeFrom="paragraph">
                  <wp:posOffset>2174240</wp:posOffset>
                </wp:positionV>
                <wp:extent cx="1010920" cy="314325"/>
                <wp:effectExtent l="9525" t="0" r="15875" b="11430"/>
                <wp:wrapNone/>
                <wp:docPr id="17" name="文本框 17"/>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r>
                              <w:rPr>
                                <w:rFonts w:hint="eastAsia" w:eastAsia="仿宋"/>
                                <w:b/>
                                <w:bCs/>
                                <w:kern w:val="0"/>
                                <w:sz w:val="24"/>
                                <w:szCs w:val="24"/>
                              </w:rPr>
                              <w:t>应急专家组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85pt;margin-top:171.2pt;height:24.75pt;width:79.6pt;z-index:251671552;mso-width-relative:page;mso-height-relative:page;" fillcolor="#FFFFFF" filled="t" stroked="t" coordsize="21600,21600" o:gfxdata="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t73AdgAAAALAQAADwAAAAAAAAABACAAAAAiAAAAZHJzL2Rvd25yZXYueG1sUEsBAhQAFAAAAAgA&#10;h07iQIykd2peAgAAyAQAAA4AAAAAAAAAAQAgAAAAJwEAAGRycy9lMm9Eb2MueG1sUEsFBgAAAAAG&#10;AAYAWQEAAPcFAAAAAA==&#10;">
                <v:fill on="t" focussize="0,0"/>
                <v:stroke weight="1.5pt" color="#000000" joinstyle="round"/>
                <v:imagedata o:title=""/>
                <o:lock v:ext="edit" aspectratio="f"/>
                <v:textbox>
                  <w:txbxContent>
                    <w:p>
                      <w:r>
                        <w:rPr>
                          <w:rFonts w:hint="eastAsia" w:eastAsia="仿宋"/>
                          <w:b/>
                          <w:bCs/>
                          <w:kern w:val="0"/>
                          <w:sz w:val="24"/>
                          <w:szCs w:val="24"/>
                        </w:rPr>
                        <w:t>应急专家组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3839845</wp:posOffset>
                </wp:positionH>
                <wp:positionV relativeFrom="paragraph">
                  <wp:posOffset>2155190</wp:posOffset>
                </wp:positionV>
                <wp:extent cx="1010920" cy="541655"/>
                <wp:effectExtent l="9525" t="0" r="15875" b="12700"/>
                <wp:wrapNone/>
                <wp:docPr id="16" name="文本框 16"/>
                <wp:cNvGraphicFramePr/>
                <a:graphic xmlns:a="http://schemas.openxmlformats.org/drawingml/2006/main">
                  <a:graphicData uri="http://schemas.microsoft.com/office/word/2010/wordprocessingShape">
                    <wps:wsp>
                      <wps:cNvSpPr txBox="1"/>
                      <wps:spPr>
                        <a:xfrm>
                          <a:off x="0" y="0"/>
                          <a:ext cx="1010920" cy="54165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应急物资保障组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35pt;margin-top:169.7pt;height:42.65pt;width:79.6pt;z-index:251670528;mso-width-relative:page;mso-height-relative:page;" fillcolor="#FFFFFF" filled="t" stroked="t" coordsize="21600,21600" o:gfxdata="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X&#10;PrJ62AAAAAsBAAAPAAAAAAAAAAEAIAAAACIAAABkcnMvZG93bnJldi54bWxQSwECFAAUAAAACACH&#10;TuJAP6WcG10CAADIBAAADgAAAAAAAAABACAAAAAnAQAAZHJzL2Uyb0RvYy54bWxQSwUGAAAAAAYA&#10;BgBZAQAA9gUAAAAA&#10;">
                <v:fill on="t" focussize="0,0"/>
                <v:stroke weight="1.5pt" color="#000000" joinstyle="round"/>
                <v:imagedata o:title=""/>
                <o:lock v:ext="edit" aspectratio="f"/>
                <v:textbox>
                  <w:txbxContent>
                    <w:p>
                      <w:pPr>
                        <w:jc w:val="center"/>
                      </w:pPr>
                      <w:r>
                        <w:rPr>
                          <w:rFonts w:hint="eastAsia" w:eastAsia="仿宋"/>
                          <w:b/>
                          <w:bCs/>
                          <w:kern w:val="0"/>
                          <w:sz w:val="24"/>
                          <w:szCs w:val="24"/>
                        </w:rPr>
                        <w:t>应急物资保障组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2802255</wp:posOffset>
                </wp:positionH>
                <wp:positionV relativeFrom="paragraph">
                  <wp:posOffset>2145665</wp:posOffset>
                </wp:positionV>
                <wp:extent cx="855980" cy="542925"/>
                <wp:effectExtent l="9525" t="0" r="18415" b="11430"/>
                <wp:wrapNone/>
                <wp:docPr id="15" name="文本框 15"/>
                <wp:cNvGraphicFramePr/>
                <a:graphic xmlns:a="http://schemas.openxmlformats.org/drawingml/2006/main">
                  <a:graphicData uri="http://schemas.microsoft.com/office/word/2010/wordprocessingShape">
                    <wps:wsp>
                      <wps:cNvSpPr txBox="1"/>
                      <wps:spPr>
                        <a:xfrm>
                          <a:off x="0" y="0"/>
                          <a:ext cx="855980" cy="54292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应急供水保障组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65pt;margin-top:168.95pt;height:42.75pt;width:67.4pt;z-index:251669504;mso-width-relative:page;mso-height-relative:page;" fillcolor="#FFFFFF" filled="t" stroked="t" coordsize="21600,21600" o:gfxdata="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srAPtgAAAALAQAADwAAAAAAAAABACAAAAAiAAAAZHJzL2Rvd25yZXYueG1sUEsBAhQAFAAAAAgA&#10;h07iQKUTpVJeAgAAxwQAAA4AAAAAAAAAAQAgAAAAJwEAAGRycy9lMm9Eb2MueG1sUEsFBgAAAAAG&#10;AAYAWQEAAPcFAAAAAA==&#10;">
                <v:fill on="t" focussize="0,0"/>
                <v:stroke weight="1.5pt" color="#000000" joinstyle="round"/>
                <v:imagedata o:title=""/>
                <o:lock v:ext="edit" aspectratio="f"/>
                <v:textbox>
                  <w:txbxContent>
                    <w:p>
                      <w:pPr>
                        <w:jc w:val="center"/>
                      </w:pPr>
                      <w:r>
                        <w:rPr>
                          <w:rFonts w:hint="eastAsia" w:eastAsia="仿宋"/>
                          <w:b/>
                          <w:bCs/>
                          <w:kern w:val="0"/>
                          <w:sz w:val="24"/>
                          <w:szCs w:val="24"/>
                        </w:rPr>
                        <w:t>应急供水保障组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1715770</wp:posOffset>
                </wp:positionH>
                <wp:positionV relativeFrom="paragraph">
                  <wp:posOffset>2174240</wp:posOffset>
                </wp:positionV>
                <wp:extent cx="972185" cy="314325"/>
                <wp:effectExtent l="9525" t="0" r="24130" b="11430"/>
                <wp:wrapNone/>
                <wp:docPr id="14" name="文本框 14"/>
                <wp:cNvGraphicFramePr/>
                <a:graphic xmlns:a="http://schemas.openxmlformats.org/drawingml/2006/main">
                  <a:graphicData uri="http://schemas.microsoft.com/office/word/2010/wordprocessingShape">
                    <wps:wsp>
                      <wps:cNvSpPr txBox="1"/>
                      <wps:spPr>
                        <a:xfrm>
                          <a:off x="0" y="0"/>
                          <a:ext cx="972185" cy="314325"/>
                        </a:xfrm>
                        <a:prstGeom prst="rect">
                          <a:avLst/>
                        </a:prstGeom>
                        <a:solidFill>
                          <a:srgbClr val="FFFFFF"/>
                        </a:solidFill>
                        <a:ln w="19050">
                          <a:solidFill>
                            <a:prstClr val="black"/>
                          </a:solidFill>
                        </a:ln>
                        <a:effectLst/>
                      </wps:spPr>
                      <wps:txbx>
                        <w:txbxContent>
                          <w:p>
                            <w:r>
                              <w:rPr>
                                <w:rFonts w:hint="eastAsia" w:eastAsia="仿宋"/>
                                <w:b/>
                                <w:bCs/>
                                <w:kern w:val="0"/>
                                <w:sz w:val="24"/>
                                <w:szCs w:val="24"/>
                              </w:rPr>
                              <w:t>应急监测组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1pt;margin-top:171.2pt;height:24.75pt;width:76.55pt;z-index:251668480;mso-width-relative:page;mso-height-relative:page;" fillcolor="#FFFFFF" filled="t" stroked="t" coordsize="21600,21600" o:gfxdata="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MtR/YAAAACwEAAA8AAAAAAAAAAQAgAAAAIgAAAGRycy9kb3ducmV2LnhtbFBLAQIUABQAAAAI&#10;AIdO4kAukGI0XwIAAMcEAAAOAAAAAAAAAAEAIAAAACcBAABkcnMvZTJvRG9jLnhtbFBLBQYAAAAA&#10;BgAGAFkBAAD4BQAAAAA=&#10;">
                <v:fill on="t" focussize="0,0"/>
                <v:stroke weight="1.5pt" color="#000000" joinstyle="round"/>
                <v:imagedata o:title=""/>
                <o:lock v:ext="edit" aspectratio="f"/>
                <v:textbox>
                  <w:txbxContent>
                    <w:p>
                      <w:r>
                        <w:rPr>
                          <w:rFonts w:hint="eastAsia" w:eastAsia="仿宋"/>
                          <w:b/>
                          <w:bCs/>
                          <w:kern w:val="0"/>
                          <w:sz w:val="24"/>
                          <w:szCs w:val="24"/>
                        </w:rPr>
                        <w:t>应急监测组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239395</wp:posOffset>
                </wp:positionH>
                <wp:positionV relativeFrom="paragraph">
                  <wp:posOffset>2155190</wp:posOffset>
                </wp:positionV>
                <wp:extent cx="1010920" cy="314325"/>
                <wp:effectExtent l="9525" t="0" r="15875" b="11430"/>
                <wp:wrapNone/>
                <wp:docPr id="13" name="文本框 13"/>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pPr>
                              <w:jc w:val="center"/>
                              <w:rPr>
                                <w:rFonts w:eastAsia="仿宋"/>
                                <w:b/>
                                <w:bCs/>
                                <w:kern w:val="0"/>
                                <w:sz w:val="24"/>
                                <w:szCs w:val="24"/>
                              </w:rPr>
                            </w:pPr>
                            <w:r>
                              <w:rPr>
                                <w:rFonts w:hint="eastAsia" w:eastAsia="仿宋"/>
                                <w:b/>
                                <w:bCs/>
                                <w:kern w:val="0"/>
                                <w:sz w:val="24"/>
                                <w:szCs w:val="24"/>
                              </w:rPr>
                              <w:t>应急处置组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pt;margin-top:169.7pt;height:24.75pt;width:79.6pt;z-index:251667456;mso-width-relative:page;mso-height-relative:page;" fillcolor="#FFFFFF" filled="t" stroked="t" coordsize="21600,21600" o:gfxdata="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Qu&#10;CjjXAAAACgEAAA8AAAAAAAAAAQAgAAAAIgAAAGRycy9kb3ducmV2LnhtbFBLAQIUABQAAAAIAIdO&#10;4kC8vqDAXQIAAMgEAAAOAAAAAAAAAAEAIAAAACYBAABkcnMvZTJvRG9jLnhtbFBLBQYAAAAABgAG&#10;AFkBAAD1BQAAAAA=&#10;">
                <v:fill on="t" focussize="0,0"/>
                <v:stroke weight="1.5pt" color="#000000" joinstyle="round"/>
                <v:imagedata o:title=""/>
                <o:lock v:ext="edit" aspectratio="f"/>
                <v:textbox>
                  <w:txbxContent>
                    <w:p>
                      <w:pPr>
                        <w:jc w:val="center"/>
                        <w:rPr>
                          <w:rFonts w:eastAsia="仿宋"/>
                          <w:b/>
                          <w:bCs/>
                          <w:kern w:val="0"/>
                          <w:sz w:val="24"/>
                          <w:szCs w:val="24"/>
                        </w:rPr>
                      </w:pPr>
                      <w:r>
                        <w:rPr>
                          <w:rFonts w:hint="eastAsia" w:eastAsia="仿宋"/>
                          <w:b/>
                          <w:bCs/>
                          <w:kern w:val="0"/>
                          <w:sz w:val="24"/>
                          <w:szCs w:val="24"/>
                        </w:rPr>
                        <w:t>应急处置组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756285</wp:posOffset>
                </wp:positionH>
                <wp:positionV relativeFrom="paragraph">
                  <wp:posOffset>1859280</wp:posOffset>
                </wp:positionV>
                <wp:extent cx="6985" cy="275590"/>
                <wp:effectExtent l="51435" t="0" r="63500" b="13970"/>
                <wp:wrapNone/>
                <wp:docPr id="21" name="直接箭头连接符 21"/>
                <wp:cNvGraphicFramePr/>
                <a:graphic xmlns:a="http://schemas.openxmlformats.org/drawingml/2006/main">
                  <a:graphicData uri="http://schemas.microsoft.com/office/word/2010/wordprocessingShape">
                    <wps:wsp>
                      <wps:cNvCnPr/>
                      <wps:spPr>
                        <a:xfrm flipV="1">
                          <a:off x="2439670" y="2924175"/>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9.55pt;margin-top:146.4pt;height:21.7pt;width:0.55pt;z-index:251674624;mso-width-relative:page;mso-height-relative:page;" filled="f" stroked="t" coordsize="21600,21600" o:gfxdata="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SE5+dYAAAAL&#10;AQAADwAAAAAAAAABACAAAAAiAAAAZHJzL2Rvd25yZXYueG1sUEsBAhQAFAAAAAgAh07iQJlad1se&#10;AgAACAQAAA4AAAAAAAAAAQAgAAAAJQEAAGRycy9lMm9Eb2MueG1sUEsFBgAAAAAGAAYAWQEAALUF&#10;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-166370</wp:posOffset>
                </wp:positionH>
                <wp:positionV relativeFrom="paragraph">
                  <wp:posOffset>2959735</wp:posOffset>
                </wp:positionV>
                <wp:extent cx="1818640" cy="1514475"/>
                <wp:effectExtent l="9525" t="0" r="15875" b="15240"/>
                <wp:wrapNone/>
                <wp:docPr id="27" name="文本框 27"/>
                <wp:cNvGraphicFramePr/>
                <a:graphic xmlns:a="http://schemas.openxmlformats.org/drawingml/2006/main">
                  <a:graphicData uri="http://schemas.microsoft.com/office/word/2010/wordprocessingShape">
                    <wps:wsp>
                      <wps:cNvSpPr txBox="1"/>
                      <wps:spPr>
                        <a:xfrm>
                          <a:off x="1661795" y="4519930"/>
                          <a:ext cx="1818640" cy="1514475"/>
                        </a:xfrm>
                        <a:prstGeom prst="rect">
                          <a:avLst/>
                        </a:prstGeom>
                        <a:solidFill>
                          <a:srgbClr val="FFFFFF"/>
                        </a:solidFill>
                        <a:ln w="19050">
                          <a:solidFill>
                            <a:prstClr val="black"/>
                          </a:solidFill>
                        </a:ln>
                        <a:effectLst/>
                      </wps:spPr>
                      <wps:txbx>
                        <w:txbxContent>
                          <w:p>
                            <w:pPr>
                              <w:jc w:val="center"/>
                              <w:rPr>
                                <w:color w:val="auto"/>
                              </w:rPr>
                            </w:pPr>
                            <w:r>
                              <w:rPr>
                                <w:lang w:val="zh-CN"/>
                              </w:rPr>
                              <w:t>由区政府负责，</w:t>
                            </w:r>
                            <w:r>
                              <w:rPr>
                                <w:rFonts w:hint="eastAsia"/>
                                <w:color w:val="auto"/>
                                <w:lang w:val="zh-CN"/>
                              </w:rPr>
                              <w:t>区府办、</w:t>
                            </w:r>
                            <w:r>
                              <w:rPr>
                                <w:color w:val="auto"/>
                                <w:lang w:val="zh-CN"/>
                              </w:rPr>
                              <w:t>区应急管理局</w:t>
                            </w:r>
                            <w:r>
                              <w:rPr>
                                <w:rFonts w:hint="eastAsia"/>
                                <w:color w:val="auto"/>
                                <w:lang w:val="zh-CN"/>
                              </w:rPr>
                              <w:t>、</w:t>
                            </w:r>
                            <w:r>
                              <w:rPr>
                                <w:color w:val="auto"/>
                                <w:lang w:val="zh-CN"/>
                              </w:rPr>
                              <w:t>区消防大队</w:t>
                            </w:r>
                            <w:r>
                              <w:rPr>
                                <w:rFonts w:hint="eastAsia"/>
                                <w:color w:val="auto"/>
                                <w:lang w:val="zh-CN"/>
                              </w:rPr>
                              <w:t>、</w:t>
                            </w:r>
                            <w:r>
                              <w:rPr>
                                <w:color w:val="auto"/>
                                <w:lang w:val="zh-CN"/>
                              </w:rPr>
                              <w:t>区生态环境局</w:t>
                            </w:r>
                            <w:r>
                              <w:rPr>
                                <w:rFonts w:hint="eastAsia"/>
                                <w:color w:val="auto"/>
                                <w:lang w:val="zh-CN"/>
                              </w:rPr>
                              <w:t>、</w:t>
                            </w:r>
                            <w:r>
                              <w:rPr>
                                <w:color w:val="auto"/>
                                <w:lang w:val="zh-CN"/>
                              </w:rPr>
                              <w:t>区农业农村局</w:t>
                            </w:r>
                            <w:r>
                              <w:rPr>
                                <w:rFonts w:hint="eastAsia"/>
                                <w:color w:val="auto"/>
                                <w:lang w:val="zh-CN"/>
                              </w:rPr>
                              <w:t>、</w:t>
                            </w:r>
                            <w:r>
                              <w:rPr>
                                <w:color w:val="auto"/>
                                <w:lang w:val="zh-CN"/>
                              </w:rPr>
                              <w:t>区自然资源局</w:t>
                            </w:r>
                            <w:r>
                              <w:rPr>
                                <w:rFonts w:hint="eastAsia"/>
                                <w:color w:val="auto"/>
                                <w:lang w:val="zh-CN"/>
                              </w:rPr>
                              <w:t>、</w:t>
                            </w:r>
                            <w:r>
                              <w:rPr>
                                <w:color w:val="auto"/>
                                <w:lang w:val="zh-CN"/>
                              </w:rPr>
                              <w:t>区住建局</w:t>
                            </w:r>
                            <w:r>
                              <w:rPr>
                                <w:rFonts w:hint="eastAsia"/>
                                <w:color w:val="auto"/>
                                <w:lang w:val="zh-CN"/>
                              </w:rPr>
                              <w:t>、</w:t>
                            </w:r>
                            <w:r>
                              <w:rPr>
                                <w:color w:val="auto"/>
                                <w:lang w:val="zh-CN"/>
                              </w:rPr>
                              <w:t>城厢区交通运输局</w:t>
                            </w:r>
                            <w:r>
                              <w:rPr>
                                <w:rFonts w:hint="eastAsia"/>
                                <w:color w:val="auto"/>
                                <w:lang w:val="zh-CN"/>
                              </w:rPr>
                              <w:t>、</w:t>
                            </w:r>
                            <w:r>
                              <w:rPr>
                                <w:color w:val="auto"/>
                                <w:lang w:val="zh-CN"/>
                              </w:rPr>
                              <w:t>区公安局</w:t>
                            </w:r>
                            <w:r>
                              <w:rPr>
                                <w:rFonts w:hint="eastAsia"/>
                                <w:color w:val="auto"/>
                                <w:lang w:val="zh-CN"/>
                              </w:rPr>
                              <w:t>、</w:t>
                            </w:r>
                            <w:r>
                              <w:rPr>
                                <w:color w:val="auto"/>
                                <w:lang w:val="zh-CN"/>
                              </w:rPr>
                              <w:t>区水利局相关部门参与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233.05pt;height:119.25pt;width:143.2pt;z-index:251675648;mso-width-relative:page;mso-height-relative:page;" fillcolor="#FFFFFF" filled="t" stroked="t" coordsize="21600,21600" o:gfxdata="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sVh01wAAAAsBAAAPAAAAAAAAAAEAIAAAACIAAABkcnMvZG93bnJldi54bWxQ&#10;SwECFAAUAAAACACHTuJAbaFocGoCAADVBAAADgAAAAAAAAABACAAAAAmAQAAZHJzL2Uyb0RvYy54&#10;bWxQSwUGAAAAAAYABgBZAQAAAgYAAAAA&#10;">
                <v:fill on="t" focussize="0,0"/>
                <v:stroke weight="1.5pt" color="#000000" joinstyle="round"/>
                <v:imagedata o:title=""/>
                <o:lock v:ext="edit" aspectratio="f"/>
                <v:textbox>
                  <w:txbxContent>
                    <w:p>
                      <w:pPr>
                        <w:jc w:val="center"/>
                        <w:rPr>
                          <w:color w:val="auto"/>
                        </w:rPr>
                      </w:pPr>
                      <w:r>
                        <w:rPr>
                          <w:lang w:val="zh-CN"/>
                        </w:rPr>
                        <w:t>由区政府负责，</w:t>
                      </w:r>
                      <w:r>
                        <w:rPr>
                          <w:rFonts w:hint="eastAsia"/>
                          <w:color w:val="auto"/>
                          <w:lang w:val="zh-CN"/>
                        </w:rPr>
                        <w:t>区府办、</w:t>
                      </w:r>
                      <w:r>
                        <w:rPr>
                          <w:color w:val="auto"/>
                          <w:lang w:val="zh-CN"/>
                        </w:rPr>
                        <w:t>区应急管理局</w:t>
                      </w:r>
                      <w:r>
                        <w:rPr>
                          <w:rFonts w:hint="eastAsia"/>
                          <w:color w:val="auto"/>
                          <w:lang w:val="zh-CN"/>
                        </w:rPr>
                        <w:t>、</w:t>
                      </w:r>
                      <w:r>
                        <w:rPr>
                          <w:color w:val="auto"/>
                          <w:lang w:val="zh-CN"/>
                        </w:rPr>
                        <w:t>区消防大队</w:t>
                      </w:r>
                      <w:r>
                        <w:rPr>
                          <w:rFonts w:hint="eastAsia"/>
                          <w:color w:val="auto"/>
                          <w:lang w:val="zh-CN"/>
                        </w:rPr>
                        <w:t>、</w:t>
                      </w:r>
                      <w:r>
                        <w:rPr>
                          <w:color w:val="auto"/>
                          <w:lang w:val="zh-CN"/>
                        </w:rPr>
                        <w:t>区生态环境局</w:t>
                      </w:r>
                      <w:r>
                        <w:rPr>
                          <w:rFonts w:hint="eastAsia"/>
                          <w:color w:val="auto"/>
                          <w:lang w:val="zh-CN"/>
                        </w:rPr>
                        <w:t>、</w:t>
                      </w:r>
                      <w:r>
                        <w:rPr>
                          <w:color w:val="auto"/>
                          <w:lang w:val="zh-CN"/>
                        </w:rPr>
                        <w:t>区农业农村局</w:t>
                      </w:r>
                      <w:r>
                        <w:rPr>
                          <w:rFonts w:hint="eastAsia"/>
                          <w:color w:val="auto"/>
                          <w:lang w:val="zh-CN"/>
                        </w:rPr>
                        <w:t>、</w:t>
                      </w:r>
                      <w:r>
                        <w:rPr>
                          <w:color w:val="auto"/>
                          <w:lang w:val="zh-CN"/>
                        </w:rPr>
                        <w:t>区自然资源局</w:t>
                      </w:r>
                      <w:r>
                        <w:rPr>
                          <w:rFonts w:hint="eastAsia"/>
                          <w:color w:val="auto"/>
                          <w:lang w:val="zh-CN"/>
                        </w:rPr>
                        <w:t>、</w:t>
                      </w:r>
                      <w:r>
                        <w:rPr>
                          <w:color w:val="auto"/>
                          <w:lang w:val="zh-CN"/>
                        </w:rPr>
                        <w:t>区住建局</w:t>
                      </w:r>
                      <w:r>
                        <w:rPr>
                          <w:rFonts w:hint="eastAsia"/>
                          <w:color w:val="auto"/>
                          <w:lang w:val="zh-CN"/>
                        </w:rPr>
                        <w:t>、</w:t>
                      </w:r>
                      <w:r>
                        <w:rPr>
                          <w:color w:val="auto"/>
                          <w:lang w:val="zh-CN"/>
                        </w:rPr>
                        <w:t>城厢区交通运输局</w:t>
                      </w:r>
                      <w:r>
                        <w:rPr>
                          <w:rFonts w:hint="eastAsia"/>
                          <w:color w:val="auto"/>
                          <w:lang w:val="zh-CN"/>
                        </w:rPr>
                        <w:t>、</w:t>
                      </w:r>
                      <w:r>
                        <w:rPr>
                          <w:color w:val="auto"/>
                          <w:lang w:val="zh-CN"/>
                        </w:rPr>
                        <w:t>区公安局</w:t>
                      </w:r>
                      <w:r>
                        <w:rPr>
                          <w:rFonts w:hint="eastAsia"/>
                          <w:color w:val="auto"/>
                          <w:lang w:val="zh-CN"/>
                        </w:rPr>
                        <w:t>、</w:t>
                      </w:r>
                      <w:r>
                        <w:rPr>
                          <w:color w:val="auto"/>
                          <w:lang w:val="zh-CN"/>
                        </w:rPr>
                        <w:t>区水利局相关部门参与</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6196330</wp:posOffset>
                </wp:positionH>
                <wp:positionV relativeFrom="paragraph">
                  <wp:posOffset>2968625</wp:posOffset>
                </wp:positionV>
                <wp:extent cx="2759710" cy="2249170"/>
                <wp:effectExtent l="9525" t="0" r="19685" b="12065"/>
                <wp:wrapNone/>
                <wp:docPr id="33" name="文本框 33"/>
                <wp:cNvGraphicFramePr/>
                <a:graphic xmlns:a="http://schemas.openxmlformats.org/drawingml/2006/main">
                  <a:graphicData uri="http://schemas.microsoft.com/office/word/2010/wordprocessingShape">
                    <wps:wsp>
                      <wps:cNvSpPr txBox="1"/>
                      <wps:spPr>
                        <a:xfrm>
                          <a:off x="0" y="0"/>
                          <a:ext cx="2759710" cy="2249170"/>
                        </a:xfrm>
                        <a:prstGeom prst="rect">
                          <a:avLst/>
                        </a:prstGeom>
                        <a:solidFill>
                          <a:srgbClr val="FFFFFF"/>
                        </a:solidFill>
                        <a:ln w="19050">
                          <a:solidFill>
                            <a:prstClr val="black"/>
                          </a:solidFill>
                        </a:ln>
                        <a:effectLst/>
                      </wps:spPr>
                      <wps:txbx>
                        <w:txbxContent>
                          <w:p>
                            <w:pPr>
                              <w:spacing w:line="280" w:lineRule="exact"/>
                              <w:rPr>
                                <w:color w:val="auto"/>
                                <w:sz w:val="22"/>
                                <w:szCs w:val="22"/>
                              </w:rPr>
                            </w:pPr>
                            <w:r>
                              <w:rPr>
                                <w:color w:val="auto"/>
                                <w:sz w:val="22"/>
                                <w:szCs w:val="22"/>
                                <w:lang w:val="zh-CN"/>
                              </w:rPr>
                              <w:t>警戒和治安由区公安局牵头，相关乡镇人民政府等部门参与</w:t>
                            </w:r>
                            <w:r>
                              <w:rPr>
                                <w:rFonts w:hint="eastAsia"/>
                                <w:color w:val="auto"/>
                                <w:sz w:val="22"/>
                                <w:szCs w:val="22"/>
                                <w:lang w:val="zh-CN"/>
                              </w:rPr>
                              <w:t>；</w:t>
                            </w:r>
                            <w:r>
                              <w:rPr>
                                <w:color w:val="auto"/>
                                <w:sz w:val="22"/>
                                <w:szCs w:val="22"/>
                                <w:lang w:val="zh-CN"/>
                              </w:rPr>
                              <w:t>医疗救护和卫生防疫由区卫生健康局牵头，各区内医院公共卫生专业机构等部门参与</w:t>
                            </w:r>
                            <w:r>
                              <w:rPr>
                                <w:rFonts w:hint="eastAsia"/>
                                <w:color w:val="auto"/>
                                <w:sz w:val="22"/>
                                <w:szCs w:val="22"/>
                                <w:lang w:val="zh-CN"/>
                              </w:rPr>
                              <w:t>；</w:t>
                            </w:r>
                            <w:r>
                              <w:rPr>
                                <w:color w:val="auto"/>
                                <w:sz w:val="22"/>
                                <w:szCs w:val="22"/>
                                <w:lang w:val="zh-CN"/>
                              </w:rPr>
                              <w:t>新闻宣传由</w:t>
                            </w:r>
                            <w:r>
                              <w:rPr>
                                <w:rFonts w:hint="eastAsia"/>
                                <w:color w:val="auto"/>
                                <w:sz w:val="22"/>
                                <w:szCs w:val="22"/>
                                <w:lang w:val="zh-CN"/>
                              </w:rPr>
                              <w:t>区委宣传部</w:t>
                            </w:r>
                            <w:r>
                              <w:rPr>
                                <w:color w:val="auto"/>
                                <w:sz w:val="22"/>
                                <w:szCs w:val="22"/>
                                <w:lang w:val="zh-CN"/>
                              </w:rPr>
                              <w:t>牵头，通信公司等部门参与</w:t>
                            </w:r>
                            <w:r>
                              <w:rPr>
                                <w:rFonts w:hint="eastAsia"/>
                                <w:color w:val="auto"/>
                                <w:sz w:val="22"/>
                                <w:szCs w:val="22"/>
                                <w:lang w:val="zh-CN"/>
                              </w:rPr>
                              <w:t>；区环卫处负责做好突发环境污染事故发生地一般废弃物的集中清理、清运和无害化处理工作。区气象局负责提供饮用水源地突发环境事件现场及周边地区气象条件的数据；负责现场应急区域及周边可能影响区域的中、短期天气预报，负责提供现场污染扩散气象条件的预测预报。</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7.9pt;margin-top:233.75pt;height:177.1pt;width:217.3pt;z-index:251679744;mso-width-relative:page;mso-height-relative:page;" fillcolor="#FFFFFF" filled="t" stroked="t" coordsize="21600,21600" o:gfxdata="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mF9t2AAAAAwBAAAPAAAAAAAAAAEAIAAAACIAAABkcnMvZG93bnJldi54bWxQSwECFAAU&#10;AAAACACHTuJAMyPOPGMCAADJBAAADgAAAAAAAAABACAAAAAnAQAAZHJzL2Uyb0RvYy54bWxQSwUG&#10;AAAAAAYABgBZAQAA/AUAAAAA&#10;">
                <v:fill on="t" focussize="0,0"/>
                <v:stroke weight="1.5pt" color="#000000" joinstyle="round"/>
                <v:imagedata o:title=""/>
                <o:lock v:ext="edit" aspectratio="f"/>
                <v:textbox>
                  <w:txbxContent>
                    <w:p>
                      <w:pPr>
                        <w:spacing w:line="280" w:lineRule="exact"/>
                        <w:rPr>
                          <w:color w:val="auto"/>
                          <w:sz w:val="22"/>
                          <w:szCs w:val="22"/>
                        </w:rPr>
                      </w:pPr>
                      <w:r>
                        <w:rPr>
                          <w:color w:val="auto"/>
                          <w:sz w:val="22"/>
                          <w:szCs w:val="22"/>
                          <w:lang w:val="zh-CN"/>
                        </w:rPr>
                        <w:t>警戒和治安由区公安局牵头，相关乡镇人民政府等部门参与</w:t>
                      </w:r>
                      <w:r>
                        <w:rPr>
                          <w:rFonts w:hint="eastAsia"/>
                          <w:color w:val="auto"/>
                          <w:sz w:val="22"/>
                          <w:szCs w:val="22"/>
                          <w:lang w:val="zh-CN"/>
                        </w:rPr>
                        <w:t>；</w:t>
                      </w:r>
                      <w:r>
                        <w:rPr>
                          <w:color w:val="auto"/>
                          <w:sz w:val="22"/>
                          <w:szCs w:val="22"/>
                          <w:lang w:val="zh-CN"/>
                        </w:rPr>
                        <w:t>医疗救护和卫生防疫由区卫生健康局牵头，各区内医院公共卫生专业机构等部门参与</w:t>
                      </w:r>
                      <w:r>
                        <w:rPr>
                          <w:rFonts w:hint="eastAsia"/>
                          <w:color w:val="auto"/>
                          <w:sz w:val="22"/>
                          <w:szCs w:val="22"/>
                          <w:lang w:val="zh-CN"/>
                        </w:rPr>
                        <w:t>；</w:t>
                      </w:r>
                      <w:r>
                        <w:rPr>
                          <w:color w:val="auto"/>
                          <w:sz w:val="22"/>
                          <w:szCs w:val="22"/>
                          <w:lang w:val="zh-CN"/>
                        </w:rPr>
                        <w:t>新闻宣传由</w:t>
                      </w:r>
                      <w:r>
                        <w:rPr>
                          <w:rFonts w:hint="eastAsia"/>
                          <w:color w:val="auto"/>
                          <w:sz w:val="22"/>
                          <w:szCs w:val="22"/>
                          <w:lang w:val="zh-CN"/>
                        </w:rPr>
                        <w:t>区委宣传部</w:t>
                      </w:r>
                      <w:r>
                        <w:rPr>
                          <w:color w:val="auto"/>
                          <w:sz w:val="22"/>
                          <w:szCs w:val="22"/>
                          <w:lang w:val="zh-CN"/>
                        </w:rPr>
                        <w:t>牵头，通信公司等部门参与</w:t>
                      </w:r>
                      <w:r>
                        <w:rPr>
                          <w:rFonts w:hint="eastAsia"/>
                          <w:color w:val="auto"/>
                          <w:sz w:val="22"/>
                          <w:szCs w:val="22"/>
                          <w:lang w:val="zh-CN"/>
                        </w:rPr>
                        <w:t>；区环卫处负责做好突发环境污染事故发生地一般废弃物的集中清理、清运和无害化处理工作。区气象局负责提供饮用水源地突发环境事件现场及周边地区气象条件的数据；负责现场应急区域及周边可能影响区域的中、短期天气预报，负责提供现场污染扩散气象条件的预测预报。</w:t>
                      </w:r>
                    </w:p>
                    <w:p/>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4996180</wp:posOffset>
                </wp:positionH>
                <wp:positionV relativeFrom="paragraph">
                  <wp:posOffset>2959100</wp:posOffset>
                </wp:positionV>
                <wp:extent cx="1112520" cy="1524000"/>
                <wp:effectExtent l="9525" t="0" r="20955" b="20955"/>
                <wp:wrapNone/>
                <wp:docPr id="31" name="文本框 31"/>
                <wp:cNvGraphicFramePr/>
                <a:graphic xmlns:a="http://schemas.openxmlformats.org/drawingml/2006/main">
                  <a:graphicData uri="http://schemas.microsoft.com/office/word/2010/wordprocessingShape">
                    <wps:wsp>
                      <wps:cNvSpPr txBox="1"/>
                      <wps:spPr>
                        <a:xfrm>
                          <a:off x="0" y="0"/>
                          <a:ext cx="1112520" cy="1524000"/>
                        </a:xfrm>
                        <a:prstGeom prst="rect">
                          <a:avLst/>
                        </a:prstGeom>
                        <a:solidFill>
                          <a:srgbClr val="FFFFFF"/>
                        </a:solidFill>
                        <a:ln w="19050">
                          <a:solidFill>
                            <a:prstClr val="black"/>
                          </a:solidFill>
                        </a:ln>
                        <a:effectLst/>
                      </wps:spPr>
                      <wps:txbx>
                        <w:txbxContent>
                          <w:p>
                            <w:pPr>
                              <w:jc w:val="center"/>
                              <w:rPr>
                                <w:lang w:val="zh-CN"/>
                              </w:rPr>
                            </w:pPr>
                            <w:r>
                              <w:rPr>
                                <w:lang w:val="zh-CN"/>
                              </w:rPr>
                              <w:t>由区饮用水源地应急办聘请应急专家组由环保、安监、水利等部门专家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4pt;margin-top:233pt;height:120pt;width:87.6pt;z-index:251678720;mso-width-relative:page;mso-height-relative:page;" fillcolor="#FFFFFF" filled="t" stroked="t" coordsize="21600,21600" o:gfxdata="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Zb8ATWAAAACwEAAA8AAAAAAAAAAQAgAAAAIgAAAGRycy9kb3ducmV2LnhtbFBLAQIUABQAAAAI&#10;AIdO4kAHBVucYQIAAMkEAAAOAAAAAAAAAAEAIAAAACUBAABkcnMvZTJvRG9jLnhtbFBLBQYAAAAA&#10;BgAGAFkBAAD4BQAAAAA=&#10;">
                <v:fill on="t" focussize="0,0"/>
                <v:stroke weight="1.5pt" color="#000000" joinstyle="round"/>
                <v:imagedata o:title=""/>
                <o:lock v:ext="edit" aspectratio="f"/>
                <v:textbox>
                  <w:txbxContent>
                    <w:p>
                      <w:pPr>
                        <w:jc w:val="center"/>
                        <w:rPr>
                          <w:lang w:val="zh-CN"/>
                        </w:rPr>
                      </w:pPr>
                      <w:r>
                        <w:rPr>
                          <w:lang w:val="zh-CN"/>
                        </w:rPr>
                        <w:t>由区饮用水源地应急办聘请应急专家组由环保、安监、水利等部门专家</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3757930</wp:posOffset>
                </wp:positionH>
                <wp:positionV relativeFrom="paragraph">
                  <wp:posOffset>2959735</wp:posOffset>
                </wp:positionV>
                <wp:extent cx="1170305" cy="1514475"/>
                <wp:effectExtent l="9525" t="0" r="24130" b="15240"/>
                <wp:wrapNone/>
                <wp:docPr id="30" name="文本框 30"/>
                <wp:cNvGraphicFramePr/>
                <a:graphic xmlns:a="http://schemas.openxmlformats.org/drawingml/2006/main">
                  <a:graphicData uri="http://schemas.microsoft.com/office/word/2010/wordprocessingShape">
                    <wps:wsp>
                      <wps:cNvSpPr txBox="1"/>
                      <wps:spPr>
                        <a:xfrm>
                          <a:off x="0" y="0"/>
                          <a:ext cx="1170305" cy="1514475"/>
                        </a:xfrm>
                        <a:prstGeom prst="rect">
                          <a:avLst/>
                        </a:prstGeom>
                        <a:solidFill>
                          <a:srgbClr val="FFFFFF"/>
                        </a:solidFill>
                        <a:ln w="19050">
                          <a:solidFill>
                            <a:prstClr val="black"/>
                          </a:solidFill>
                        </a:ln>
                        <a:effectLst/>
                      </wps:spPr>
                      <wps:txbx>
                        <w:txbxContent>
                          <w:p>
                            <w:pPr>
                              <w:jc w:val="center"/>
                            </w:pPr>
                            <w:r>
                              <w:rPr>
                                <w:lang w:val="zh-CN"/>
                              </w:rPr>
                              <w:t>由区政府</w:t>
                            </w:r>
                            <w:r>
                              <w:rPr>
                                <w:rFonts w:hint="eastAsia"/>
                                <w:color w:val="auto"/>
                                <w:lang w:val="zh-CN"/>
                              </w:rPr>
                              <w:t>区水利局、区生态环境局、区</w:t>
                            </w:r>
                            <w:r>
                              <w:rPr>
                                <w:color w:val="auto"/>
                                <w:lang w:val="zh-CN"/>
                              </w:rPr>
                              <w:t>民政局、</w:t>
                            </w:r>
                            <w:r>
                              <w:rPr>
                                <w:rFonts w:hint="eastAsia"/>
                                <w:color w:val="auto"/>
                                <w:lang w:val="zh-CN"/>
                              </w:rPr>
                              <w:t>区</w:t>
                            </w:r>
                            <w:r>
                              <w:rPr>
                                <w:color w:val="auto"/>
                                <w:lang w:val="zh-CN"/>
                              </w:rPr>
                              <w:t>财政局</w:t>
                            </w:r>
                            <w:r>
                              <w:rPr>
                                <w:rFonts w:hint="eastAsia"/>
                                <w:color w:val="auto"/>
                                <w:lang w:val="zh-CN"/>
                              </w:rPr>
                              <w:t>、所在地人民政府</w:t>
                            </w:r>
                            <w:r>
                              <w:rPr>
                                <w:lang w:val="zh-CN"/>
                              </w:rPr>
                              <w:t>等部门组成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9pt;margin-top:233.05pt;height:119.25pt;width:92.15pt;z-index:251677696;mso-width-relative:page;mso-height-relative:page;" fillcolor="#FFFFFF" filled="t" stroked="t" coordsize="21600,21600" o:gfxdata="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fuo1dYAAAALAQAADwAAAAAAAAABACAAAAAiAAAAZHJzL2Rvd25yZXYueG1sUEsBAhQAFAAAAAgA&#10;h07iQMxITZlgAgAAyQQAAA4AAAAAAAAAAQAgAAAAJQEAAGRycy9lMm9Eb2MueG1sUEsFBgAAAAAG&#10;AAYAWQEAAPcFAAAAAA==&#10;">
                <v:fill on="t" focussize="0,0"/>
                <v:stroke weight="1.5pt" color="#000000" joinstyle="round"/>
                <v:imagedata o:title=""/>
                <o:lock v:ext="edit" aspectratio="f"/>
                <v:textbox>
                  <w:txbxContent>
                    <w:p>
                      <w:pPr>
                        <w:jc w:val="center"/>
                      </w:pPr>
                      <w:r>
                        <w:rPr>
                          <w:lang w:val="zh-CN"/>
                        </w:rPr>
                        <w:t>由区政府</w:t>
                      </w:r>
                      <w:r>
                        <w:rPr>
                          <w:rFonts w:hint="eastAsia"/>
                          <w:color w:val="auto"/>
                          <w:lang w:val="zh-CN"/>
                        </w:rPr>
                        <w:t>区水利局、区生态环境局、区</w:t>
                      </w:r>
                      <w:r>
                        <w:rPr>
                          <w:color w:val="auto"/>
                          <w:lang w:val="zh-CN"/>
                        </w:rPr>
                        <w:t>民政局、</w:t>
                      </w:r>
                      <w:r>
                        <w:rPr>
                          <w:rFonts w:hint="eastAsia"/>
                          <w:color w:val="auto"/>
                          <w:lang w:val="zh-CN"/>
                        </w:rPr>
                        <w:t>区</w:t>
                      </w:r>
                      <w:r>
                        <w:rPr>
                          <w:color w:val="auto"/>
                          <w:lang w:val="zh-CN"/>
                        </w:rPr>
                        <w:t>财政局</w:t>
                      </w:r>
                      <w:r>
                        <w:rPr>
                          <w:rFonts w:hint="eastAsia"/>
                          <w:color w:val="auto"/>
                          <w:lang w:val="zh-CN"/>
                        </w:rPr>
                        <w:t>、所在地人民政府</w:t>
                      </w:r>
                      <w:r>
                        <w:rPr>
                          <w:lang w:val="zh-CN"/>
                        </w:rPr>
                        <w:t>等部门组成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4343400</wp:posOffset>
                </wp:positionH>
                <wp:positionV relativeFrom="paragraph">
                  <wp:posOffset>1601470</wp:posOffset>
                </wp:positionV>
                <wp:extent cx="3810" cy="243840"/>
                <wp:effectExtent l="52705" t="0" r="65405" b="0"/>
                <wp:wrapNone/>
                <wp:docPr id="49" name="直接箭头连接符 49"/>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pt;margin-top:126.1pt;height:19.2pt;width:0.3pt;z-index:-251657216;mso-width-relative:page;mso-height-relative:page;" filled="f" stroked="t" coordsize="21600,21600" o:gfxdata="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lJGAdYAAAALAQAADwAAAAAAAAAB&#10;ACAAAAAiAAAAZHJzL2Rvd25yZXYueG1sUEsBAhQAFAAAAAgAh07iQNyTQFoSAgAA/AMAAA4AAAAA&#10;AAAAAQAgAAAAJQEAAGRycy9lMm9Eb2MueG1sUEsFBgAAAAAGAAYAWQEAAKk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1248410</wp:posOffset>
                </wp:positionH>
                <wp:positionV relativeFrom="paragraph">
                  <wp:posOffset>821690</wp:posOffset>
                </wp:positionV>
                <wp:extent cx="1620520" cy="314325"/>
                <wp:effectExtent l="9525" t="0" r="15875" b="11430"/>
                <wp:wrapNone/>
                <wp:docPr id="8" name="文本框 8"/>
                <wp:cNvGraphicFramePr/>
                <a:graphic xmlns:a="http://schemas.openxmlformats.org/drawingml/2006/main">
                  <a:graphicData uri="http://schemas.microsoft.com/office/word/2010/wordprocessingShape">
                    <wps:wsp>
                      <wps:cNvSpPr txBox="1"/>
                      <wps:spPr>
                        <a:xfrm>
                          <a:off x="0" y="0"/>
                          <a:ext cx="1620520" cy="314325"/>
                        </a:xfrm>
                        <a:prstGeom prst="rect">
                          <a:avLst/>
                        </a:prstGeom>
                        <a:solidFill>
                          <a:srgbClr val="FFFFFF"/>
                        </a:solidFill>
                        <a:ln w="19050">
                          <a:solidFill>
                            <a:prstClr val="black"/>
                          </a:solidFill>
                        </a:ln>
                        <a:effectLst/>
                      </wps:spPr>
                      <wps:txbx>
                        <w:txbxContent>
                          <w:p>
                            <w:pPr>
                              <w:jc w:val="center"/>
                              <w:rPr>
                                <w:rFonts w:eastAsia="仿宋"/>
                                <w:b/>
                                <w:bCs/>
                                <w:kern w:val="0"/>
                                <w:sz w:val="24"/>
                                <w:szCs w:val="24"/>
                              </w:rPr>
                            </w:pPr>
                            <w:r>
                              <w:rPr>
                                <w:rFonts w:hint="eastAsia" w:eastAsia="仿宋"/>
                                <w:b/>
                                <w:bCs/>
                                <w:kern w:val="0"/>
                                <w:sz w:val="24"/>
                                <w:szCs w:val="24"/>
                              </w:rPr>
                              <w:t>区饮用水源地应急办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3pt;margin-top:64.7pt;height:24.75pt;width:127.6pt;z-index:251665408;mso-width-relative:page;mso-height-relative:page;" fillcolor="#FFFFFF" filled="t" stroked="t" coordsize="21600,21600" o:gfxdata="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jf&#10;DxzWAAAACwEAAA8AAAAAAAAAAQAgAAAAIgAAAGRycy9kb3ducmV2LnhtbFBLAQIUABQAAAAIAIdO&#10;4kDEGAXFXgIAAMYEAAAOAAAAAAAAAAEAIAAAACUBAABkcnMvZTJvRG9jLnhtbFBLBQYAAAAABgAG&#10;AFkBAAD1BQAAAAA=&#10;">
                <v:fill on="t" focussize="0,0"/>
                <v:stroke weight="1.5pt" color="#000000" joinstyle="round"/>
                <v:imagedata o:title=""/>
                <o:lock v:ext="edit" aspectratio="f"/>
                <v:textbox>
                  <w:txbxContent>
                    <w:p>
                      <w:pPr>
                        <w:jc w:val="center"/>
                        <w:rPr>
                          <w:rFonts w:eastAsia="仿宋"/>
                          <w:b/>
                          <w:bCs/>
                          <w:kern w:val="0"/>
                          <w:sz w:val="24"/>
                          <w:szCs w:val="24"/>
                        </w:rPr>
                      </w:pPr>
                      <w:r>
                        <w:rPr>
                          <w:rFonts w:hint="eastAsia" w:eastAsia="仿宋"/>
                          <w:b/>
                          <w:bCs/>
                          <w:kern w:val="0"/>
                          <w:sz w:val="24"/>
                          <w:szCs w:val="24"/>
                        </w:rPr>
                        <w:t>区饮用水源地应急办</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2915920</wp:posOffset>
                </wp:positionH>
                <wp:positionV relativeFrom="paragraph">
                  <wp:posOffset>992505</wp:posOffset>
                </wp:positionV>
                <wp:extent cx="1409700" cy="0"/>
                <wp:effectExtent l="0" t="53975" r="7620" b="67945"/>
                <wp:wrapNone/>
                <wp:docPr id="9" name="直接箭头连接符 9"/>
                <wp:cNvGraphicFramePr/>
                <a:graphic xmlns:a="http://schemas.openxmlformats.org/drawingml/2006/main">
                  <a:graphicData uri="http://schemas.microsoft.com/office/word/2010/wordprocessingShape">
                    <wps:wsp>
                      <wps:cNvCnPr/>
                      <wps:spPr>
                        <a:xfrm>
                          <a:off x="0" y="0"/>
                          <a:ext cx="1409700" cy="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29.6pt;margin-top:78.15pt;height:0pt;width:111pt;z-index:251666432;mso-width-relative:page;mso-height-relative:page;" filled="f" stroked="t" coordsize="21600,21600" o:gfxdata="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xfhrtgAAAALAQAADwAAAAAAAAABACAAAAAiAAAAZHJzL2Rvd25yZXYu&#10;eG1sUEsBAhQAFAAAAAgAh07iQJIIgVr7AQAA1gMAAA4AAAAAAAAAAQAgAAAAJwEAAGRycy9lMm9E&#10;b2MueG1sUEsFBgAAAAAGAAYAWQEAAJQFAAAAAA==&#10;">
                <v:fill on="f" focussize="0,0"/>
                <v:stroke weight="1.5pt" color="#000000"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3335020</wp:posOffset>
                </wp:positionH>
                <wp:positionV relativeFrom="paragraph">
                  <wp:posOffset>1278890</wp:posOffset>
                </wp:positionV>
                <wp:extent cx="1972310" cy="314325"/>
                <wp:effectExtent l="9525" t="0" r="14605" b="11430"/>
                <wp:wrapNone/>
                <wp:docPr id="7" name="文本框 7"/>
                <wp:cNvGraphicFramePr/>
                <a:graphic xmlns:a="http://schemas.openxmlformats.org/drawingml/2006/main">
                  <a:graphicData uri="http://schemas.microsoft.com/office/word/2010/wordprocessingShape">
                    <wps:wsp>
                      <wps:cNvSpPr txBox="1"/>
                      <wps:spPr>
                        <a:xfrm>
                          <a:off x="0" y="0"/>
                          <a:ext cx="1972310" cy="314325"/>
                        </a:xfrm>
                        <a:prstGeom prst="rect">
                          <a:avLst/>
                        </a:prstGeom>
                        <a:solidFill>
                          <a:srgbClr val="FFFFFF"/>
                        </a:solidFill>
                        <a:ln w="19050">
                          <a:solidFill>
                            <a:prstClr val="black"/>
                          </a:solidFill>
                        </a:ln>
                        <a:effectLst/>
                      </wps:spPr>
                      <wps:txbx>
                        <w:txbxContent>
                          <w:p>
                            <w:pPr>
                              <w:jc w:val="center"/>
                              <w:rPr>
                                <w:b/>
                                <w:bCs/>
                                <w:sz w:val="24"/>
                                <w:szCs w:val="24"/>
                              </w:rPr>
                            </w:pPr>
                            <w:r>
                              <w:rPr>
                                <w:rFonts w:hint="eastAsia" w:eastAsia="仿宋"/>
                                <w:b/>
                                <w:bCs/>
                                <w:kern w:val="0"/>
                                <w:sz w:val="24"/>
                                <w:szCs w:val="24"/>
                              </w:rPr>
                              <w:t>现场应急指挥部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6pt;margin-top:100.7pt;height:24.75pt;width:155.3pt;z-index:251664384;mso-width-relative:page;mso-height-relative:page;" fillcolor="#FFFFFF" filled="t" stroked="t" coordsize="21600,21600" o:gfxdata="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6j&#10;KHHWAAAACwEAAA8AAAAAAAAAAQAgAAAAIgAAAGRycy9kb3ducmV2LnhtbFBLAQIUABQAAAAIAIdO&#10;4kCihVNaXgIAAMYEAAAOAAAAAAAAAAEAIAAAACUBAABkcnMvZTJvRG9jLnhtbFBLBQYAAAAABgAG&#10;AFkBAAD1BQAAAAA=&#10;">
                <v:fill on="t" focussize="0,0"/>
                <v:stroke weight="1.5pt" color="#000000" joinstyle="round"/>
                <v:imagedata o:title=""/>
                <o:lock v:ext="edit" aspectratio="f"/>
                <v:textbox>
                  <w:txbxContent>
                    <w:p>
                      <w:pPr>
                        <w:jc w:val="center"/>
                        <w:rPr>
                          <w:b/>
                          <w:bCs/>
                          <w:sz w:val="24"/>
                          <w:szCs w:val="24"/>
                        </w:rPr>
                      </w:pPr>
                      <w:r>
                        <w:rPr>
                          <w:rFonts w:hint="eastAsia" w:eastAsia="仿宋"/>
                          <w:b/>
                          <w:bCs/>
                          <w:kern w:val="0"/>
                          <w:sz w:val="24"/>
                          <w:szCs w:val="24"/>
                        </w:rPr>
                        <w:t>现场应急指挥部</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3344545</wp:posOffset>
                </wp:positionH>
                <wp:positionV relativeFrom="paragraph">
                  <wp:posOffset>335915</wp:posOffset>
                </wp:positionV>
                <wp:extent cx="1972310" cy="314325"/>
                <wp:effectExtent l="9525" t="0" r="14605" b="11430"/>
                <wp:wrapNone/>
                <wp:docPr id="2" name="文本框 2"/>
                <wp:cNvGraphicFramePr/>
                <a:graphic xmlns:a="http://schemas.openxmlformats.org/drawingml/2006/main">
                  <a:graphicData uri="http://schemas.microsoft.com/office/word/2010/wordprocessingShape">
                    <wps:wsp>
                      <wps:cNvSpPr txBox="1"/>
                      <wps:spPr>
                        <a:xfrm>
                          <a:off x="4573270" y="1734185"/>
                          <a:ext cx="1972310" cy="314325"/>
                        </a:xfrm>
                        <a:prstGeom prst="rect">
                          <a:avLst/>
                        </a:prstGeom>
                        <a:solidFill>
                          <a:srgbClr val="FFFFFF"/>
                        </a:solidFill>
                        <a:ln w="19050">
                          <a:solidFill>
                            <a:prstClr val="black"/>
                          </a:solidFill>
                        </a:ln>
                        <a:effectLst/>
                      </wps:spPr>
                      <wps:txbx>
                        <w:txbxContent>
                          <w:p>
                            <w:pPr>
                              <w:jc w:val="center"/>
                              <w:rPr>
                                <w:b/>
                                <w:bCs/>
                                <w:sz w:val="24"/>
                                <w:szCs w:val="24"/>
                              </w:rPr>
                            </w:pPr>
                            <w:r>
                              <w:rPr>
                                <w:rFonts w:hint="eastAsia" w:eastAsia="仿宋"/>
                                <w:b/>
                                <w:bCs/>
                                <w:kern w:val="0"/>
                                <w:sz w:val="24"/>
                                <w:szCs w:val="24"/>
                              </w:rPr>
                              <w:t>区饮用水源地应急指挥部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35pt;margin-top:26.45pt;height:24.75pt;width:155.3pt;z-index:251662336;mso-width-relative:page;mso-height-relative:page;" fillcolor="#FFFFFF" filled="t" stroked="t" coordsize="21600,21600" o:gfxdata="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1fE7tcAAAAKAQAADwAAAAAAAAABACAAAAAiAAAAZHJzL2Rvd25yZXYueG1s&#10;UEsBAhQAFAAAAAgAh07iQMpGUfRrAgAA0gQAAA4AAAAAAAAAAQAgAAAAJgEAAGRycy9lMm9Eb2Mu&#10;eG1sUEsFBgAAAAAGAAYAWQEAAAMGAAAAAA==&#10;">
                <v:fill on="t" focussize="0,0"/>
                <v:stroke weight="1.5pt" color="#000000" joinstyle="round"/>
                <v:imagedata o:title=""/>
                <o:lock v:ext="edit" aspectratio="f"/>
                <v:textbox>
                  <w:txbxContent>
                    <w:p>
                      <w:pPr>
                        <w:jc w:val="center"/>
                        <w:rPr>
                          <w:b/>
                          <w:bCs/>
                          <w:sz w:val="24"/>
                          <w:szCs w:val="24"/>
                        </w:rPr>
                      </w:pPr>
                      <w:r>
                        <w:rPr>
                          <w:rFonts w:hint="eastAsia" w:eastAsia="仿宋"/>
                          <w:b/>
                          <w:bCs/>
                          <w:kern w:val="0"/>
                          <w:sz w:val="24"/>
                          <w:szCs w:val="24"/>
                        </w:rPr>
                        <w:t>区饮用水源地应急指挥部</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4330700</wp:posOffset>
                </wp:positionH>
                <wp:positionV relativeFrom="paragraph">
                  <wp:posOffset>650240</wp:posOffset>
                </wp:positionV>
                <wp:extent cx="4445" cy="628015"/>
                <wp:effectExtent l="50165" t="0" r="67310" b="12065"/>
                <wp:wrapNone/>
                <wp:docPr id="6" name="直接箭头连接符 6"/>
                <wp:cNvGraphicFramePr/>
                <a:graphic xmlns:a="http://schemas.openxmlformats.org/drawingml/2006/main">
                  <a:graphicData uri="http://schemas.microsoft.com/office/word/2010/wordprocessingShape">
                    <wps:wsp>
                      <wps:cNvCnPr/>
                      <wps:spPr>
                        <a:xfrm>
                          <a:off x="5559425" y="2077085"/>
                          <a:ext cx="4445" cy="62801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41pt;margin-top:51.2pt;height:49.45pt;width:0.35pt;z-index:251663360;mso-width-relative:page;mso-height-relative:page;" filled="f" stroked="t" coordsize="21600,21600" o:gfxdata="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VSxGNoAAAALAQAADwAAAAAAAAAB&#10;ACAAAAAiAAAAZHJzL2Rvd25yZXYueG1sUEsBAhQAFAAAAAgAh07iQOK4ImkOAgAA5AMAAA4AAAAA&#10;AAAAAQAgAAAAKQEAAGRycy9lMm9Eb2MueG1sUEsFBgAAAAAGAAYAWQEAAKkFAAAAAA==&#10;">
                <v:fill on="f" focussize="0,0"/>
                <v:stroke weight="1.5pt" color="#000000" joinstyle="round" endarrow="open"/>
                <v:imagedata o:title=""/>
                <o:lock v:ext="edit" aspectratio="f"/>
              </v:shape>
            </w:pict>
          </mc:Fallback>
        </mc:AlternateContent>
      </w:r>
      <w:r>
        <w:rPr>
          <w:rFonts w:hint="eastAsia"/>
          <w:color w:val="000000" w:themeColor="text1"/>
          <w14:textFill>
            <w14:solidFill>
              <w14:schemeClr w14:val="tx1"/>
            </w14:solidFill>
          </w14:textFill>
        </w:rPr>
        <w:t xml:space="preserve">                                                                                     </w:t>
      </w:r>
    </w:p>
    <w:p>
      <w:pPr>
        <w:pStyle w:val="110"/>
        <w:spacing w:before="156" w:after="156"/>
        <w:rPr>
          <w:rFonts w:ascii="黑体" w:hAnsi="黑体" w:cs="黑体"/>
          <w:color w:val="000000" w:themeColor="text1"/>
          <w:sz w:val="24"/>
          <w:szCs w:val="24"/>
          <w14:textFill>
            <w14:solidFill>
              <w14:schemeClr w14:val="tx1"/>
            </w14:solidFill>
          </w14:textFill>
        </w:rPr>
      </w:pPr>
      <w:bookmarkStart w:id="805" w:name="_Toc27450"/>
      <w:bookmarkStart w:id="806" w:name="_Toc28923"/>
      <w:bookmarkStart w:id="807" w:name="_Toc529453140"/>
      <w:bookmarkStart w:id="808" w:name="_Toc27102"/>
      <w:bookmarkStart w:id="809" w:name="_Toc529453294"/>
      <w:bookmarkStart w:id="810" w:name="_Toc527026597"/>
      <w:bookmarkStart w:id="811" w:name="_Toc5439"/>
      <w:bookmarkStart w:id="812" w:name="_Toc528234275"/>
      <w:bookmarkStart w:id="813" w:name="_Toc522893264"/>
      <w:bookmarkStart w:id="814" w:name="_Toc523153568"/>
      <w:bookmarkStart w:id="815" w:name="_Toc523219333"/>
      <w:bookmarkStart w:id="816" w:name="_Toc523219622"/>
      <w:bookmarkStart w:id="817" w:name="_Toc946"/>
      <w:bookmarkStart w:id="818" w:name="_Toc523223921"/>
      <w:bookmarkStart w:id="819" w:name="_Toc523223381"/>
      <w:bookmarkStart w:id="820" w:name="_Toc523220137"/>
      <w:bookmarkStart w:id="821" w:name="_Toc386526308"/>
      <w:bookmarkStart w:id="822" w:name="_Toc7295"/>
      <w:bookmarkStart w:id="823" w:name="_Toc21524"/>
      <w:r>
        <w:rPr>
          <w:rFonts w:hint="eastAsia" w:cs="黑体"/>
          <w:color w:val="000000" w:themeColor="text1"/>
          <w:sz w:val="24"/>
          <w:szCs w:val="24"/>
          <w14:textFill>
            <w14:solidFill>
              <w14:schemeClr w14:val="tx1"/>
            </w14:solidFill>
          </w14:textFill>
        </w:rPr>
        <w:t>附件</w:t>
      </w:r>
      <w:bookmarkEnd w:id="805"/>
      <w:r>
        <w:rPr>
          <w:rFonts w:hint="eastAsia" w:cs="黑体"/>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不同类型突发环境事件现场应急指挥部及应急工作组组成</w:t>
      </w:r>
      <w:bookmarkEnd w:id="806"/>
    </w:p>
    <w:p>
      <w:pPr>
        <w:pStyle w:val="77"/>
        <w:ind w:firstLine="480"/>
        <w:rPr>
          <w:color w:val="000000" w:themeColor="text1"/>
          <w14:textFill>
            <w14:solidFill>
              <w14:schemeClr w14:val="tx1"/>
            </w14:solidFill>
          </w14:textFill>
        </w:rPr>
      </w:pPr>
      <w:r>
        <w:rPr>
          <w:color w:val="000000" w:themeColor="text1"/>
          <w14:textFill>
            <w14:solidFill>
              <w14:schemeClr w14:val="tx1"/>
            </w14:solidFill>
          </w14:textFill>
        </w:rPr>
        <w:t>一、固定源突发环境事件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二、流动源突发环境事件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三、非点源突发环境事件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四、水华灾害事件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110"/>
        <w:spacing w:before="156" w:after="156"/>
        <w:rPr>
          <w:rFonts w:cs="黑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824" w:name="_Toc18175"/>
      <w:bookmarkStart w:id="825" w:name="_Toc523219340"/>
      <w:bookmarkStart w:id="826" w:name="_Toc527026605"/>
      <w:bookmarkStart w:id="827" w:name="_Toc523223388"/>
      <w:bookmarkStart w:id="828" w:name="_Toc522893271"/>
      <w:bookmarkStart w:id="829" w:name="_Toc523223928"/>
      <w:bookmarkStart w:id="830" w:name="_Toc1257"/>
      <w:bookmarkStart w:id="831" w:name="_Toc529453299"/>
      <w:bookmarkStart w:id="832" w:name="_Toc12884"/>
      <w:bookmarkStart w:id="833" w:name="_Toc523220144"/>
      <w:bookmarkStart w:id="834" w:name="_Toc523219629"/>
      <w:bookmarkStart w:id="835" w:name="_Toc529453145"/>
      <w:bookmarkStart w:id="836" w:name="_Toc528234281"/>
      <w:bookmarkStart w:id="837" w:name="_Toc523153575"/>
    </w:p>
    <w:p>
      <w:pPr>
        <w:pStyle w:val="110"/>
        <w:spacing w:before="156" w:after="156"/>
        <w:rPr>
          <w:color w:val="000000" w:themeColor="text1"/>
          <w14:textFill>
            <w14:solidFill>
              <w14:schemeClr w14:val="tx1"/>
            </w14:solidFill>
          </w14:textFill>
        </w:rPr>
      </w:pPr>
      <w:bookmarkStart w:id="838" w:name="_Toc9366"/>
      <w:r>
        <w:rPr>
          <w:rFonts w:hint="eastAsia" w:cs="黑体"/>
          <w:color w:val="000000" w:themeColor="text1"/>
          <w:sz w:val="24"/>
          <w:szCs w:val="24"/>
          <w14:textFill>
            <w14:solidFill>
              <w14:schemeClr w14:val="tx1"/>
            </w14:solidFill>
          </w14:textFill>
        </w:rPr>
        <w:t>附件</w:t>
      </w:r>
      <w:bookmarkEnd w:id="824"/>
      <w:r>
        <w:rPr>
          <w:rFonts w:hint="eastAsia" w:cs="黑体"/>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城厢区集中式地表水饮用水水源地突发环境事件应急响应流程图</w:t>
      </w:r>
      <w:bookmarkEnd w:id="825"/>
      <w:bookmarkEnd w:id="826"/>
      <w:bookmarkEnd w:id="827"/>
      <w:bookmarkEnd w:id="828"/>
      <w:bookmarkEnd w:id="829"/>
      <w:bookmarkEnd w:id="830"/>
      <w:bookmarkEnd w:id="831"/>
      <w:bookmarkEnd w:id="832"/>
      <w:bookmarkEnd w:id="833"/>
      <w:bookmarkEnd w:id="834"/>
      <w:bookmarkEnd w:id="835"/>
      <w:bookmarkEnd w:id="836"/>
      <w:bookmarkEnd w:id="837"/>
      <w:r>
        <w:rPr>
          <w:color w:val="000000" w:themeColor="text1"/>
          <w14:textFill>
            <w14:solidFill>
              <w14:schemeClr w14:val="tx1"/>
            </w14:solidFill>
          </w14:textFill>
        </w:rPr>
        <w:drawing>
          <wp:inline distT="0" distB="0" distL="114300" distR="114300">
            <wp:extent cx="4651375" cy="6838315"/>
            <wp:effectExtent l="0" t="0" r="15875" b="635"/>
            <wp:docPr id="4" name="图片 2" descr="应急响应工作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应急响应工作路线"/>
                    <pic:cNvPicPr>
                      <a:picLocks noChangeAspect="1"/>
                    </pic:cNvPicPr>
                  </pic:nvPicPr>
                  <pic:blipFill>
                    <a:blip r:embed="rId7"/>
                    <a:stretch>
                      <a:fillRect/>
                    </a:stretch>
                  </pic:blipFill>
                  <pic:spPr>
                    <a:xfrm>
                      <a:off x="0" y="0"/>
                      <a:ext cx="4651375" cy="6838315"/>
                    </a:xfrm>
                    <a:prstGeom prst="rect">
                      <a:avLst/>
                    </a:prstGeom>
                    <a:noFill/>
                    <a:ln>
                      <a:noFill/>
                    </a:ln>
                  </pic:spPr>
                </pic:pic>
              </a:graphicData>
            </a:graphic>
          </wp:inline>
        </w:drawing>
      </w:r>
      <w:bookmarkEnd w:id="838"/>
    </w:p>
    <w:p>
      <w:pPr>
        <w:pStyle w:val="77"/>
        <w:ind w:firstLine="0" w:firstLineChars="0"/>
        <w:rPr>
          <w:color w:val="000000" w:themeColor="text1"/>
          <w14:textFill>
            <w14:solidFill>
              <w14:schemeClr w14:val="tx1"/>
            </w14:solidFill>
          </w14:textFill>
        </w:rPr>
      </w:pPr>
    </w:p>
    <w:p>
      <w:pPr>
        <w:pStyle w:val="77"/>
        <w:ind w:firstLine="0" w:firstLineChars="0"/>
        <w:rPr>
          <w:rFonts w:eastAsia="黑体"/>
          <w:color w:val="000000" w:themeColor="text1"/>
          <w:sz w:val="32"/>
          <w:szCs w:val="32"/>
          <w:lang w:val="en-US"/>
          <w14:textFill>
            <w14:solidFill>
              <w14:schemeClr w14:val="tx1"/>
            </w14:solidFill>
          </w14:textFill>
        </w:rPr>
        <w:sectPr>
          <w:pgSz w:w="11906" w:h="16838"/>
          <w:pgMar w:top="1440" w:right="1800" w:bottom="1440" w:left="1800" w:header="851" w:footer="992" w:gutter="0"/>
          <w:cols w:space="425" w:num="1"/>
          <w:docGrid w:type="lines" w:linePitch="312" w:charSpace="0"/>
        </w:sectPr>
      </w:pPr>
    </w:p>
    <w:bookmarkEnd w:id="807"/>
    <w:bookmarkEnd w:id="808"/>
    <w:bookmarkEnd w:id="809"/>
    <w:bookmarkEnd w:id="810"/>
    <w:bookmarkEnd w:id="811"/>
    <w:bookmarkEnd w:id="812"/>
    <w:p>
      <w:pPr>
        <w:pStyle w:val="110"/>
        <w:spacing w:before="156" w:after="156"/>
        <w:rPr>
          <w:rFonts w:ascii="黑体" w:hAnsi="黑体" w:cs="黑体"/>
          <w:color w:val="000000" w:themeColor="text1"/>
          <w:sz w:val="24"/>
          <w:szCs w:val="24"/>
          <w14:textFill>
            <w14:solidFill>
              <w14:schemeClr w14:val="tx1"/>
            </w14:solidFill>
          </w14:textFill>
        </w:rPr>
      </w:pPr>
      <w:bookmarkStart w:id="839" w:name="_Toc19155"/>
      <w:bookmarkStart w:id="840" w:name="_Toc529453141"/>
      <w:bookmarkStart w:id="841" w:name="_Toc529453295"/>
      <w:bookmarkStart w:id="842" w:name="_Toc527026598"/>
      <w:bookmarkStart w:id="843" w:name="_Toc21431"/>
      <w:bookmarkStart w:id="844" w:name="_Toc528234277"/>
      <w:bookmarkStart w:id="845" w:name="_Toc32165"/>
      <w:bookmarkStart w:id="846" w:name="_Toc9807"/>
      <w:r>
        <w:rPr>
          <w:rFonts w:hint="eastAsia" w:cs="黑体"/>
          <w:color w:val="000000" w:themeColor="text1"/>
          <w:sz w:val="24"/>
          <w:szCs w:val="24"/>
          <w14:textFill>
            <w14:solidFill>
              <w14:schemeClr w14:val="tx1"/>
            </w14:solidFill>
          </w14:textFill>
        </w:rPr>
        <w:t>附件</w:t>
      </w:r>
      <w:bookmarkEnd w:id="839"/>
      <w:r>
        <w:rPr>
          <w:rFonts w:hint="eastAsia" w:cs="黑体"/>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bookmarkEnd w:id="813"/>
      <w:bookmarkEnd w:id="814"/>
      <w:bookmarkEnd w:id="815"/>
      <w:bookmarkEnd w:id="816"/>
      <w:bookmarkEnd w:id="817"/>
      <w:bookmarkEnd w:id="818"/>
      <w:bookmarkEnd w:id="819"/>
      <w:bookmarkEnd w:id="820"/>
      <w:bookmarkEnd w:id="840"/>
      <w:bookmarkEnd w:id="841"/>
      <w:bookmarkEnd w:id="842"/>
      <w:bookmarkEnd w:id="843"/>
      <w:bookmarkEnd w:id="844"/>
      <w:bookmarkEnd w:id="845"/>
      <w:r>
        <w:rPr>
          <w:rFonts w:hint="eastAsia" w:ascii="黑体" w:hAnsi="黑体" w:cs="黑体"/>
          <w:color w:val="000000" w:themeColor="text1"/>
          <w:sz w:val="24"/>
          <w:szCs w:val="24"/>
          <w14:textFill>
            <w14:solidFill>
              <w14:schemeClr w14:val="tx1"/>
            </w14:solidFill>
          </w14:textFill>
        </w:rPr>
        <w:t>城厢区集中式地表水饮用水水源地突发环境事件现场调查表</w:t>
      </w:r>
      <w:bookmarkEnd w:id="846"/>
    </w:p>
    <w:p>
      <w:pPr>
        <w:pStyle w:val="77"/>
        <w:wordWrap w:val="0"/>
        <w:ind w:right="120" w:firstLine="480"/>
        <w:jc w:val="center"/>
        <w:rPr>
          <w:color w:val="000000" w:themeColor="text1"/>
          <w:sz w:val="21"/>
          <w:szCs w:val="21"/>
          <w14:textFill>
            <w14:solidFill>
              <w14:schemeClr w14:val="tx1"/>
            </w14:solidFill>
          </w14:textFill>
        </w:rPr>
      </w:pPr>
      <w:r>
        <w:rPr>
          <w:rFonts w:hint="eastAsia" w:cs="宋体"/>
          <w:color w:val="000000" w:themeColor="text1"/>
          <w:lang w:val="en-US"/>
          <w14:textFill>
            <w14:solidFill>
              <w14:schemeClr w14:val="tx1"/>
            </w14:solidFill>
          </w14:textFill>
        </w:rPr>
        <w:t xml:space="preserve">                                  </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调查时间：</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月</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日时分</w:t>
      </w:r>
    </w:p>
    <w:tbl>
      <w:tblPr>
        <w:tblStyle w:val="3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949"/>
        <w:gridCol w:w="151"/>
        <w:gridCol w:w="1120"/>
        <w:gridCol w:w="213"/>
        <w:gridCol w:w="493"/>
        <w:gridCol w:w="445"/>
        <w:gridCol w:w="467"/>
        <w:gridCol w:w="498"/>
        <w:gridCol w:w="733"/>
        <w:gridCol w:w="2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11"/>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cs="宋体"/>
                <w:b/>
                <w:bCs/>
                <w:color w:val="000000" w:themeColor="text1"/>
                <w:sz w:val="21"/>
                <w:szCs w:val="21"/>
                <w14:textFill>
                  <w14:solidFill>
                    <w14:schemeClr w14:val="tx1"/>
                  </w14:solidFill>
                </w14:textFill>
              </w:rPr>
              <w:t>、突发环境事件基本情况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信息来源</w:t>
            </w:r>
          </w:p>
        </w:tc>
        <w:tc>
          <w:tcPr>
            <w:tcW w:w="1271"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70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发生时间</w:t>
            </w:r>
          </w:p>
        </w:tc>
        <w:tc>
          <w:tcPr>
            <w:tcW w:w="1410" w:type="dxa"/>
            <w:gridSpan w:val="3"/>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733"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地点</w:t>
            </w:r>
          </w:p>
        </w:tc>
        <w:tc>
          <w:tcPr>
            <w:tcW w:w="2036" w:type="dxa"/>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事件起因</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主要污染物和数量</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污染程度和范围</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人员受害</w:t>
            </w:r>
          </w:p>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及救护情况</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是否及时启动</w:t>
            </w:r>
          </w:p>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环境应急预案</w:t>
            </w:r>
          </w:p>
        </w:tc>
        <w:tc>
          <w:tcPr>
            <w:tcW w:w="1271"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151" w:type="dxa"/>
            <w:gridSpan w:val="3"/>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预计事件发展趋势</w:t>
            </w:r>
          </w:p>
        </w:tc>
        <w:tc>
          <w:tcPr>
            <w:tcW w:w="3734" w:type="dxa"/>
            <w:gridSpan w:val="4"/>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637" w:type="dxa"/>
            <w:gridSpan w:val="4"/>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w:t>
            </w:r>
            <w:r>
              <w:rPr>
                <w:rFonts w:hint="eastAsia" w:cs="宋体"/>
                <w:b/>
                <w:bCs/>
                <w:color w:val="000000" w:themeColor="text1"/>
                <w:sz w:val="21"/>
                <w:szCs w:val="21"/>
                <w14:textFill>
                  <w14:solidFill>
                    <w14:schemeClr w14:val="tx1"/>
                  </w14:solidFill>
                </w14:textFill>
              </w:rPr>
              <w:t>、事件可能级别</w:t>
            </w:r>
          </w:p>
        </w:tc>
        <w:tc>
          <w:tcPr>
            <w:tcW w:w="4885" w:type="dxa"/>
            <w:gridSpan w:val="7"/>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特别重大口重大口较大口一般口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）是否对饮用水源保护区造成或者可能造成影响：否口是口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s="宋体"/>
                <w:color w:val="000000" w:themeColor="text1"/>
                <w:sz w:val="21"/>
                <w:szCs w:val="21"/>
                <w14:textFill>
                  <w14:solidFill>
                    <w14:schemeClr w14:val="tx1"/>
                  </w14:solidFill>
                </w14:textFill>
              </w:rPr>
              <w:t>）是否涉及居民聚居区、学校、医院等敏感区域和敏感人群：否口是口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）是否涉及重金属或者类金属污染：否口是口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s="宋体"/>
                <w:color w:val="000000" w:themeColor="text1"/>
                <w:sz w:val="21"/>
                <w:szCs w:val="21"/>
                <w14:textFill>
                  <w14:solidFill>
                    <w14:schemeClr w14:val="tx1"/>
                  </w14:solidFill>
                </w14:textFill>
              </w:rPr>
              <w:t>）是否因环境污染引发群体性事件，或者社会影响较大的：否口是口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）是否有可能产生跨市、跨省或者跨国影响的：否口是口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w:t>
            </w:r>
            <w:r>
              <w:rPr>
                <w:rFonts w:hint="eastAsia" w:cs="宋体"/>
                <w:color w:val="000000" w:themeColor="text1"/>
                <w:sz w:val="21"/>
                <w:szCs w:val="21"/>
                <w14:textFill>
                  <w14:solidFill>
                    <w14:schemeClr w14:val="tx1"/>
                  </w14:solidFill>
                </w14:textFill>
              </w:rPr>
              <w:t>）其他情形：</w:t>
            </w:r>
            <w:r>
              <w:rPr>
                <w:color w:val="000000" w:themeColor="text1"/>
                <w:sz w:val="21"/>
                <w:szCs w:val="21"/>
                <w14:textFill>
                  <w14:solidFill>
                    <w14:schemeClr w14:val="tx1"/>
                  </w14:solidFill>
                </w14:textFill>
              </w:rPr>
              <w:t>_______________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cs="宋体"/>
                <w:b/>
                <w:bCs/>
                <w:color w:val="000000" w:themeColor="text1"/>
                <w:sz w:val="21"/>
                <w:szCs w:val="21"/>
                <w14:textFill>
                  <w14:solidFill>
                    <w14:schemeClr w14:val="tx1"/>
                  </w14:solidFill>
                </w14:textFill>
              </w:rPr>
              <w:t>、信息报告情况</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（何时向何部门报告）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4</w:t>
            </w:r>
            <w:r>
              <w:rPr>
                <w:rFonts w:hint="eastAsia" w:cs="宋体"/>
                <w:b/>
                <w:bCs/>
                <w:color w:val="000000" w:themeColor="text1"/>
                <w:sz w:val="21"/>
                <w:szCs w:val="21"/>
                <w14:textFill>
                  <w14:solidFill>
                    <w14:schemeClr w14:val="tx1"/>
                  </w14:solidFill>
                </w14:textFill>
              </w:rPr>
              <w:t>、监测情况</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（何时，何地取样，监测结果）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5</w:t>
            </w:r>
            <w:r>
              <w:rPr>
                <w:rFonts w:hint="eastAsia" w:cs="宋体"/>
                <w:b/>
                <w:bCs/>
                <w:color w:val="000000" w:themeColor="text1"/>
                <w:sz w:val="21"/>
                <w:szCs w:val="21"/>
                <w14:textFill>
                  <w14:solidFill>
                    <w14:schemeClr w14:val="tx1"/>
                  </w14:solidFill>
                </w14:textFill>
              </w:rPr>
              <w:t>、已采取的措施</w:t>
            </w:r>
          </w:p>
          <w:p>
            <w:pPr>
              <w:pStyle w:val="77"/>
              <w:ind w:firstLine="0" w:firstLineChars="0"/>
              <w:jc w:val="left"/>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及效果</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6</w:t>
            </w:r>
            <w:r>
              <w:rPr>
                <w:rFonts w:hint="eastAsia" w:cs="宋体"/>
                <w:b/>
                <w:bCs/>
                <w:color w:val="000000" w:themeColor="text1"/>
                <w:sz w:val="21"/>
                <w:szCs w:val="21"/>
                <w14:textFill>
                  <w14:solidFill>
                    <w14:schemeClr w14:val="tx1"/>
                  </w14:solidFill>
                </w14:textFill>
              </w:rPr>
              <w:t>、下一步拟采取措施</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17"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被调查人</w:t>
            </w:r>
          </w:p>
        </w:tc>
        <w:tc>
          <w:tcPr>
            <w:tcW w:w="1100"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333"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职务</w:t>
            </w:r>
          </w:p>
        </w:tc>
        <w:tc>
          <w:tcPr>
            <w:tcW w:w="1405" w:type="dxa"/>
            <w:gridSpan w:val="3"/>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231"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联系方式</w:t>
            </w:r>
          </w:p>
        </w:tc>
        <w:tc>
          <w:tcPr>
            <w:tcW w:w="2036" w:type="dxa"/>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17"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调查人</w:t>
            </w:r>
          </w:p>
        </w:tc>
        <w:tc>
          <w:tcPr>
            <w:tcW w:w="1100"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333"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单位</w:t>
            </w:r>
          </w:p>
        </w:tc>
        <w:tc>
          <w:tcPr>
            <w:tcW w:w="4672" w:type="dxa"/>
            <w:gridSpan w:val="6"/>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bl>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8"/>
        <w:spacing w:before="156" w:after="156"/>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城厢区集中式地表水饮用水水源地突发环境事件现场踏勘图</w:t>
      </w:r>
    </w:p>
    <w:tbl>
      <w:tblPr>
        <w:tblStyle w:val="3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6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73" w:type="dxa"/>
            <w:tcBorders>
              <w:tl2br w:val="nil"/>
              <w:tr2bl w:val="nil"/>
            </w:tcBorders>
            <w:vAlign w:val="center"/>
          </w:tcPr>
          <w:p>
            <w:pPr>
              <w:pStyle w:val="77"/>
              <w:ind w:firstLine="422"/>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地点</w:t>
            </w:r>
          </w:p>
        </w:tc>
        <w:tc>
          <w:tcPr>
            <w:tcW w:w="6949" w:type="dxa"/>
            <w:tcBorders>
              <w:tl2br w:val="nil"/>
              <w:tr2bl w:val="nil"/>
            </w:tcBorders>
          </w:tcPr>
          <w:p>
            <w:pPr>
              <w:pStyle w:val="77"/>
              <w:ind w:firstLine="422"/>
              <w:rPr>
                <w:b/>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573" w:type="dxa"/>
            <w:tcBorders>
              <w:tl2br w:val="nil"/>
              <w:tr2bl w:val="nil"/>
            </w:tcBorders>
            <w:vAlign w:val="center"/>
          </w:tcPr>
          <w:p>
            <w:pPr>
              <w:pStyle w:val="77"/>
              <w:ind w:firstLine="0" w:firstLineChars="0"/>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周边环境状况和环境敏感点</w:t>
            </w:r>
          </w:p>
        </w:tc>
        <w:tc>
          <w:tcPr>
            <w:tcW w:w="6949" w:type="dxa"/>
            <w:tcBorders>
              <w:tl2br w:val="nil"/>
              <w:tr2bl w:val="nil"/>
            </w:tcBorders>
          </w:tcPr>
          <w:p>
            <w:pPr>
              <w:pStyle w:val="77"/>
              <w:ind w:firstLine="422"/>
              <w:rPr>
                <w:b/>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3" w:hRule="atLeast"/>
          <w:jc w:val="center"/>
        </w:trPr>
        <w:tc>
          <w:tcPr>
            <w:tcW w:w="8522" w:type="dxa"/>
            <w:gridSpan w:val="2"/>
            <w:tcBorders>
              <w:tl2br w:val="nil"/>
              <w:tr2bl w:val="nil"/>
            </w:tcBorders>
          </w:tcPr>
          <w:p>
            <w:pPr>
              <w:pStyle w:val="77"/>
              <w:ind w:firstLine="420"/>
              <w:rPr>
                <w:b/>
                <w:bCs/>
                <w:color w:val="000000" w:themeColor="text1"/>
                <w:sz w:val="21"/>
                <w:szCs w:val="21"/>
                <w14:textFill>
                  <w14:solidFill>
                    <w14:schemeClr w14:val="tx1"/>
                  </w14:solidFill>
                </w14:textFill>
              </w:rPr>
            </w:pPr>
            <w:r>
              <w:rPr>
                <w:color w:val="000000" w:themeColor="text1"/>
                <w:sz w:val="21"/>
                <w:szCs w:val="21"/>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4885055</wp:posOffset>
                      </wp:positionH>
                      <wp:positionV relativeFrom="paragraph">
                        <wp:posOffset>346710</wp:posOffset>
                      </wp:positionV>
                      <wp:extent cx="635" cy="297180"/>
                      <wp:effectExtent l="37465" t="0" r="38100" b="7620"/>
                      <wp:wrapNone/>
                      <wp:docPr id="1" name="直接连接符 27"/>
                      <wp:cNvGraphicFramePr/>
                      <a:graphic xmlns:a="http://schemas.openxmlformats.org/drawingml/2006/main">
                        <a:graphicData uri="http://schemas.microsoft.com/office/word/2010/wordprocessingShape">
                          <wps:wsp>
                            <wps:cNvCnPr/>
                            <wps:spPr>
                              <a:xfrm flipV="1">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7" o:spid="_x0000_s1026" o:spt="20" style="position:absolute;left:0pt;flip:y;margin-left:384.65pt;margin-top:27.3pt;height:23.4pt;width:0.05pt;z-index:251660288;mso-width-relative:page;mso-height-relative:page;" filled="f" stroked="t" coordsize="21600,21600" o:gfxdata="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rMEYXZAAAACgEAAA8AAAAAAAAAAQAgAAAA&#10;IgAAAGRycy9kb3ducmV2LnhtbFBLAQIUABQAAAAIAIdO4kAHrG/2CgIAAAIEAAAOAAAAAAAAAAEA&#10;IAAAACgBAABkcnMvZTJvRG9jLnhtbFBLBQYAAAAABgAGAFkBAACkBQAAAAA=&#10;">
                      <v:fill on="f" focussize="0,0"/>
                      <v:stroke color="#000000" joinstyle="round" endarrow="block"/>
                      <v:imagedata o:title=""/>
                      <o:lock v:ext="edit" aspectratio="f"/>
                    </v:line>
                  </w:pict>
                </mc:Fallback>
              </mc:AlternateContent>
            </w:r>
            <w:r>
              <w:rPr>
                <w:color w:val="000000" w:themeColor="text1"/>
                <w:sz w:val="21"/>
                <w:szCs w:val="21"/>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4542790</wp:posOffset>
                      </wp:positionH>
                      <wp:positionV relativeFrom="paragraph">
                        <wp:posOffset>247650</wp:posOffset>
                      </wp:positionV>
                      <wp:extent cx="342900" cy="59372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342900" cy="593725"/>
                              </a:xfrm>
                              <a:prstGeom prst="rect">
                                <a:avLst/>
                              </a:prstGeom>
                              <a:noFill/>
                              <a:ln>
                                <a:noFill/>
                              </a:ln>
                              <a:effectLst/>
                            </wps:spPr>
                            <wps:txbx>
                              <w:txbxContent>
                                <w:p>
                                  <w:pPr>
                                    <w:ind w:firstLine="422"/>
                                    <w:rPr>
                                      <w:b/>
                                      <w:bCs/>
                                    </w:rPr>
                                  </w:pPr>
                                </w:p>
                              </w:txbxContent>
                            </wps:txbx>
                            <wps:bodyPr upright="1"/>
                          </wps:wsp>
                        </a:graphicData>
                      </a:graphic>
                    </wp:anchor>
                  </w:drawing>
                </mc:Choice>
                <mc:Fallback>
                  <w:pict>
                    <v:shape id="文本框 28" o:spid="_x0000_s1026" o:spt="202" type="#_x0000_t202" style="position:absolute;left:0pt;margin-left:357.7pt;margin-top:19.5pt;height:46.75pt;width:27pt;z-index:251661312;mso-width-relative:page;mso-height-relative:page;" filled="f" stroked="f" coordsize="21600,21600" o:gfxdata="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10;4TzXAAAACgEAAA8AAAAAAAAAAQAgAAAAIgAAAGRycy9kb3ducmV2LnhtbFBLAQIUABQAAAAIAIdO&#10;4kBwApI3sgEAAFwDAAAOAAAAAAAAAAEAIAAAACYBAABkcnMvZTJvRG9jLnhtbFBLBQYAAAAABgAG&#10;AFkBAABKBQAAAAA=&#10;">
                      <v:fill on="f" focussize="0,0"/>
                      <v:stroke on="f"/>
                      <v:imagedata o:title=""/>
                      <o:lock v:ext="edit" aspectratio="f"/>
                      <v:textbox>
                        <w:txbxContent>
                          <w:p>
                            <w:pPr>
                              <w:ind w:firstLine="422"/>
                              <w:rPr>
                                <w:b/>
                                <w:bCs/>
                              </w:rPr>
                            </w:pPr>
                          </w:p>
                        </w:txbxContent>
                      </v:textbox>
                    </v:shape>
                  </w:pict>
                </mc:Fallback>
              </mc:AlternateContent>
            </w:r>
            <w:r>
              <w:rPr>
                <w:rFonts w:hint="eastAsia" w:cs="宋体"/>
                <w:b/>
                <w:bCs/>
                <w:color w:val="000000" w:themeColor="text1"/>
                <w:sz w:val="21"/>
                <w:szCs w:val="21"/>
                <w14:textFill>
                  <w14:solidFill>
                    <w14:schemeClr w14:val="tx1"/>
                  </w14:solidFill>
                </w14:textFill>
              </w:rPr>
              <w:t>现场踏勘图：</w:t>
            </w:r>
          </w:p>
        </w:tc>
      </w:tr>
    </w:tbl>
    <w:p>
      <w:pPr>
        <w:pStyle w:val="77"/>
        <w:ind w:firstLine="442"/>
        <w:rPr>
          <w:b/>
          <w:bCs/>
          <w:color w:val="000000" w:themeColor="text1"/>
          <w:sz w:val="22"/>
          <w:szCs w:val="22"/>
          <w14:textFill>
            <w14:solidFill>
              <w14:schemeClr w14:val="tx1"/>
            </w14:solidFill>
          </w14:textFill>
        </w:rPr>
      </w:pPr>
    </w:p>
    <w:p>
      <w:pPr>
        <w:pStyle w:val="77"/>
        <w:ind w:firstLine="442"/>
        <w:rPr>
          <w:rFonts w:cs="宋体"/>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填表人：</w:t>
      </w:r>
    </w:p>
    <w:p>
      <w:pPr>
        <w:pStyle w:val="77"/>
        <w:ind w:firstLine="442"/>
        <w:rPr>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时间：</w:t>
      </w:r>
    </w:p>
    <w:p>
      <w:pPr>
        <w:pStyle w:val="77"/>
        <w:ind w:firstLine="480"/>
        <w:rPr>
          <w:color w:val="000000" w:themeColor="text1"/>
          <w14:textFill>
            <w14:solidFill>
              <w14:schemeClr w14:val="tx1"/>
            </w14:solidFill>
          </w14:textFill>
        </w:rPr>
      </w:pPr>
    </w:p>
    <w:bookmarkEnd w:id="821"/>
    <w:bookmarkEnd w:id="822"/>
    <w:p>
      <w:pPr>
        <w:pStyle w:val="110"/>
        <w:spacing w:before="156" w:after="156"/>
        <w:rPr>
          <w:rFonts w:ascii="黑体" w:hAnsi="黑体" w:cs="黑体"/>
          <w:color w:val="000000" w:themeColor="text1"/>
          <w:sz w:val="24"/>
          <w:szCs w:val="24"/>
          <w14:textFill>
            <w14:solidFill>
              <w14:schemeClr w14:val="tx1"/>
            </w14:solidFill>
          </w14:textFill>
        </w:rPr>
      </w:pPr>
      <w:bookmarkStart w:id="847" w:name="_Toc14559"/>
      <w:bookmarkStart w:id="848" w:name="_Toc523220139"/>
      <w:bookmarkStart w:id="849" w:name="_Toc523219335"/>
      <w:bookmarkStart w:id="850" w:name="_Toc523223923"/>
      <w:bookmarkStart w:id="851" w:name="_Toc523223383"/>
      <w:bookmarkStart w:id="852" w:name="_Toc523219624"/>
      <w:bookmarkStart w:id="853" w:name="_Toc528234278"/>
      <w:bookmarkStart w:id="854" w:name="_Toc529453142"/>
      <w:bookmarkStart w:id="855" w:name="_Toc1281"/>
      <w:bookmarkStart w:id="856" w:name="_Toc21644"/>
      <w:bookmarkStart w:id="857" w:name="_Toc523153570"/>
      <w:bookmarkStart w:id="858" w:name="_Toc527026600"/>
      <w:bookmarkStart w:id="859" w:name="_Toc522893266"/>
      <w:bookmarkStart w:id="860" w:name="_Toc529453296"/>
      <w:bookmarkStart w:id="861" w:name="_Toc18227"/>
      <w:r>
        <w:rPr>
          <w:rFonts w:hint="eastAsia" w:cs="黑体"/>
          <w:color w:val="000000" w:themeColor="text1"/>
          <w:sz w:val="24"/>
          <w:szCs w:val="24"/>
          <w14:textFill>
            <w14:solidFill>
              <w14:schemeClr w14:val="tx1"/>
            </w14:solidFill>
          </w14:textFill>
        </w:rPr>
        <w:t>附件</w:t>
      </w:r>
      <w:bookmarkEnd w:id="847"/>
      <w:bookmarkStart w:id="862" w:name="_Toc385799965"/>
      <w:r>
        <w:rPr>
          <w:rFonts w:hint="eastAsia" w:cs="黑体"/>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w:t>
      </w:r>
      <w:bookmarkEnd w:id="823"/>
      <w:bookmarkEnd w:id="848"/>
      <w:bookmarkEnd w:id="849"/>
      <w:bookmarkEnd w:id="850"/>
      <w:bookmarkEnd w:id="851"/>
      <w:bookmarkEnd w:id="852"/>
      <w:bookmarkEnd w:id="853"/>
      <w:bookmarkEnd w:id="854"/>
      <w:bookmarkEnd w:id="855"/>
      <w:bookmarkEnd w:id="856"/>
      <w:bookmarkEnd w:id="857"/>
      <w:bookmarkEnd w:id="858"/>
      <w:bookmarkEnd w:id="859"/>
      <w:bookmarkEnd w:id="860"/>
      <w:bookmarkEnd w:id="862"/>
      <w:r>
        <w:rPr>
          <w:rFonts w:hint="eastAsia" w:ascii="黑体" w:hAnsi="黑体" w:cs="黑体"/>
          <w:color w:val="000000" w:themeColor="text1"/>
          <w:sz w:val="24"/>
          <w:szCs w:val="24"/>
          <w14:textFill>
            <w14:solidFill>
              <w14:schemeClr w14:val="tx1"/>
            </w14:solidFill>
          </w14:textFill>
        </w:rPr>
        <w:t>城厢区集中式地表水饮用水水源地突发环境事件信息报送内容</w:t>
      </w:r>
      <w:bookmarkEnd w:id="861"/>
    </w:p>
    <w:tbl>
      <w:tblPr>
        <w:tblStyle w:val="39"/>
        <w:tblW w:w="8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项目</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现场信息</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报告时间；现场联系人、报告人及联系方式。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事件基本信息</w:t>
            </w:r>
          </w:p>
        </w:tc>
        <w:tc>
          <w:tcPr>
            <w:tcW w:w="6444" w:type="dxa"/>
            <w:tcBorders>
              <w:tl2br w:val="nil"/>
              <w:tr2bl w:val="nil"/>
            </w:tcBorders>
            <w:vAlign w:val="center"/>
          </w:tcPr>
          <w:p>
            <w:pPr>
              <w:pStyle w:val="80"/>
              <w:jc w:val="both"/>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事件类型、发生地点、发生时间、污染源、泄漏数量、财产损失、人员伤亡、事故原因、事故进展。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现场勘察情况</w:t>
            </w:r>
          </w:p>
        </w:tc>
        <w:tc>
          <w:tcPr>
            <w:tcW w:w="6444"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1.</w:t>
            </w:r>
            <w:r>
              <w:rPr>
                <w:rFonts w:hint="eastAsia" w:cs="宋体"/>
                <w:color w:val="000000" w:themeColor="text1"/>
                <w:kern w:val="0"/>
                <w14:textFill>
                  <w14:solidFill>
                    <w14:schemeClr w14:val="tx1"/>
                  </w14:solidFill>
                </w14:textFill>
              </w:rPr>
              <w:t>饮用水源地状况：分布情况（离事发地距离）、供水范围（每日供水量、影响人口量）；</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2.</w:t>
            </w:r>
            <w:r>
              <w:rPr>
                <w:rFonts w:hint="eastAsia" w:cs="宋体"/>
                <w:color w:val="000000" w:themeColor="text1"/>
                <w:kern w:val="0"/>
                <w14:textFill>
                  <w14:solidFill>
                    <w14:schemeClr w14:val="tx1"/>
                  </w14:solidFill>
                </w14:textFill>
              </w:rPr>
              <w:t>周边是否有居民点：离事发地距离；</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3.</w:t>
            </w:r>
            <w:r>
              <w:rPr>
                <w:rFonts w:hint="eastAsia" w:cs="宋体"/>
                <w:color w:val="000000" w:themeColor="text1"/>
                <w:kern w:val="0"/>
                <w14:textFill>
                  <w14:solidFill>
                    <w14:schemeClr w14:val="tx1"/>
                  </w14:solidFill>
                </w14:textFill>
              </w:rPr>
              <w:t>水文、气象条件：流速、风速。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现场监测情况</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监测报告、监测点位图（关键点位离事发地及敏感区域距离）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应急处置措施</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政府和生态环境部门采取的措施</w:t>
            </w:r>
          </w:p>
        </w:tc>
      </w:tr>
    </w:tbl>
    <w:p>
      <w:pPr>
        <w:spacing w:line="360" w:lineRule="auto"/>
        <w:ind w:left="2183" w:right="1695"/>
        <w:jc w:val="center"/>
        <w:rPr>
          <w:b/>
          <w:color w:val="000000" w:themeColor="text1"/>
          <w14:textFill>
            <w14:solidFill>
              <w14:schemeClr w14:val="tx1"/>
            </w14:solidFill>
          </w14:textFill>
        </w:rPr>
      </w:pPr>
      <w:bookmarkStart w:id="863" w:name="_Toc15854"/>
      <w:bookmarkStart w:id="864" w:name="_Toc522893267"/>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r>
        <w:rPr>
          <w:b/>
          <w:color w:val="000000" w:themeColor="text1"/>
          <w14:textFill>
            <w14:solidFill>
              <w14:schemeClr w14:val="tx1"/>
            </w14:solidFill>
          </w14:textFill>
        </w:rPr>
        <w:t>事故报告表（初报）</w:t>
      </w:r>
    </w:p>
    <w:tbl>
      <w:tblPr>
        <w:tblStyle w:val="39"/>
        <w:tblW w:w="86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1137"/>
        <w:gridCol w:w="1272"/>
        <w:gridCol w:w="998"/>
        <w:gridCol w:w="1553"/>
        <w:gridCol w:w="12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水源地名称</w:t>
            </w:r>
          </w:p>
        </w:tc>
        <w:tc>
          <w:tcPr>
            <w:tcW w:w="1137"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事故发现人</w:t>
            </w:r>
          </w:p>
        </w:tc>
        <w:tc>
          <w:tcPr>
            <w:tcW w:w="998"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联系电话</w:t>
            </w:r>
          </w:p>
        </w:tc>
        <w:tc>
          <w:tcPr>
            <w:tcW w:w="1214"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地点</w:t>
            </w:r>
          </w:p>
        </w:tc>
        <w:tc>
          <w:tcPr>
            <w:tcW w:w="1137"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时间</w:t>
            </w:r>
          </w:p>
        </w:tc>
        <w:tc>
          <w:tcPr>
            <w:tcW w:w="99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污染源</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主要污染物质</w:t>
            </w:r>
          </w:p>
        </w:tc>
        <w:tc>
          <w:tcPr>
            <w:tcW w:w="3407" w:type="dxa"/>
            <w:gridSpan w:val="3"/>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人员受伤情况</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事故潜在的危害程度</w:t>
            </w:r>
          </w:p>
        </w:tc>
        <w:tc>
          <w:tcPr>
            <w:tcW w:w="6174" w:type="dxa"/>
            <w:gridSpan w:val="5"/>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事故处理情况描述</w:t>
            </w:r>
          </w:p>
        </w:tc>
        <w:tc>
          <w:tcPr>
            <w:tcW w:w="6174" w:type="dxa"/>
            <w:gridSpan w:val="5"/>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w:t>
            </w:r>
          </w:p>
        </w:tc>
        <w:tc>
          <w:tcPr>
            <w:tcW w:w="1137"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审核</w:t>
            </w:r>
          </w:p>
        </w:tc>
        <w:tc>
          <w:tcPr>
            <w:tcW w:w="99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报告时间</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bl>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r>
        <w:rPr>
          <w:b/>
          <w:color w:val="000000" w:themeColor="text1"/>
          <w14:textFill>
            <w14:solidFill>
              <w14:schemeClr w14:val="tx1"/>
            </w14:solidFill>
          </w14:textFill>
        </w:rPr>
        <w:t>事故报告表（确报）</w:t>
      </w:r>
    </w:p>
    <w:tbl>
      <w:tblPr>
        <w:tblStyle w:val="39"/>
        <w:tblW w:w="862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48"/>
        <w:gridCol w:w="1137"/>
        <w:gridCol w:w="1272"/>
        <w:gridCol w:w="998"/>
        <w:gridCol w:w="1553"/>
        <w:gridCol w:w="12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水源地名称</w:t>
            </w:r>
          </w:p>
        </w:tc>
        <w:tc>
          <w:tcPr>
            <w:tcW w:w="1137"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事故发现人</w:t>
            </w:r>
          </w:p>
        </w:tc>
        <w:tc>
          <w:tcPr>
            <w:tcW w:w="998"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联系电话</w:t>
            </w:r>
          </w:p>
        </w:tc>
        <w:tc>
          <w:tcPr>
            <w:tcW w:w="1214" w:type="dxa"/>
            <w:tcBorders>
              <w:left w:val="single" w:color="000000" w:sz="4" w:space="0"/>
              <w:bottom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地点</w:t>
            </w:r>
          </w:p>
        </w:tc>
        <w:tc>
          <w:tcPr>
            <w:tcW w:w="11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时间</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污染源</w:t>
            </w:r>
          </w:p>
        </w:tc>
        <w:tc>
          <w:tcPr>
            <w:tcW w:w="1214" w:type="dxa"/>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主要污染物质</w:t>
            </w:r>
          </w:p>
        </w:tc>
        <w:tc>
          <w:tcPr>
            <w:tcW w:w="3407"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人员受伤情况</w:t>
            </w:r>
          </w:p>
        </w:tc>
        <w:tc>
          <w:tcPr>
            <w:tcW w:w="1214" w:type="dxa"/>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事故潜在的危害程度</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事故处理情况简述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处置进展情况简述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事故对环境影响程度</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采取应急措施简述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措施效果简述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处置效果简述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w:t>
            </w:r>
          </w:p>
        </w:tc>
        <w:tc>
          <w:tcPr>
            <w:tcW w:w="1137"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报告人审核</w:t>
            </w:r>
          </w:p>
        </w:tc>
        <w:tc>
          <w:tcPr>
            <w:tcW w:w="998"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报告时间</w:t>
            </w:r>
          </w:p>
        </w:tc>
        <w:tc>
          <w:tcPr>
            <w:tcW w:w="1214" w:type="dxa"/>
            <w:tcBorders>
              <w:top w:val="single" w:color="000000" w:sz="4" w:space="0"/>
              <w:lef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bl>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0" w:firstLineChars="0"/>
        <w:rPr>
          <w:color w:val="000000" w:themeColor="text1"/>
          <w14:textFill>
            <w14:solidFill>
              <w14:schemeClr w14:val="tx1"/>
            </w14:solidFill>
          </w14:textFill>
        </w:rPr>
      </w:pPr>
    </w:p>
    <w:p>
      <w:pPr>
        <w:pStyle w:val="110"/>
        <w:spacing w:before="156" w:after="156"/>
        <w:rPr>
          <w:rFonts w:ascii="黑体" w:hAnsi="黑体" w:cs="黑体"/>
          <w:color w:val="000000" w:themeColor="text1"/>
          <w:sz w:val="24"/>
          <w:szCs w:val="24"/>
          <w14:textFill>
            <w14:solidFill>
              <w14:schemeClr w14:val="tx1"/>
            </w14:solidFill>
          </w14:textFill>
        </w:rPr>
      </w:pPr>
      <w:bookmarkStart w:id="865" w:name="_Toc1366"/>
      <w:bookmarkStart w:id="866" w:name="_Toc16204"/>
      <w:r>
        <w:rPr>
          <w:rFonts w:hint="eastAsia" w:cs="黑体"/>
          <w:color w:val="000000" w:themeColor="text1"/>
          <w:sz w:val="24"/>
          <w:szCs w:val="24"/>
          <w14:textFill>
            <w14:solidFill>
              <w14:schemeClr w14:val="tx1"/>
            </w14:solidFill>
          </w14:textFill>
        </w:rPr>
        <w:t>附件</w:t>
      </w:r>
      <w:bookmarkEnd w:id="865"/>
      <w:r>
        <w:rPr>
          <w:rFonts w:hint="eastAsia" w:cs="黑体"/>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适用于处理不同超标项目的推荐技术</w:t>
      </w:r>
      <w:bookmarkEnd w:id="866"/>
    </w:p>
    <w:tbl>
      <w:tblPr>
        <w:tblStyle w:val="39"/>
        <w:tblW w:w="88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6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超标项目</w:t>
            </w:r>
          </w:p>
        </w:tc>
        <w:tc>
          <w:tcPr>
            <w:tcW w:w="6739"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推</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荐</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技</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浊度</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快速砂滤池、絮凝、沉淀、过滤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色度</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快速砂滤池、絮凝；</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化学氧化预处理：臭氧、氯、高锰酸钾、二氧化氯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嗅味</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化学氧化预处理：臭氧、氯、高锰酸钾、二氧化氯、活性炭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氟化物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吸附法：氧化铝、磷酸二钙；</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混凝沉淀法：硫酸铝、聚合氯化铝；</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离子交换法；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电渗析法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氨氮</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化学氧化预处理：氯、高锰酸钾；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深度处理：臭氧-活性炭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铁、锰</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锰砂；</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化学氧化预处理：氯、高锰酸钾；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深度处理：臭氧-活性炭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挥发性有机物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三氯甲烷和腐殖酸</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前驱物的去除：强化混凝、粒状活性炭、活性炭；</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氯化副产物的去除：粒状活性炭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有机化合物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活性炭、膜处理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细菌和病毒</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过滤（部分去除）；</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消毒处理：氯、二氧化氯、臭氧、膜处理、紫外消毒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汞、铬等部分重金属</w:t>
            </w:r>
          </w:p>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（应急状态）</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氧化法：高锰酸钾；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活性炭吸附（部分去除）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藻类及藻毒素</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化学氧化预处理：除藻剂法、高锰酸钾、氯；</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微滤法；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气浮法；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臭氧氧化法；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拦截与打捞法</w:t>
            </w:r>
          </w:p>
        </w:tc>
      </w:tr>
    </w:tbl>
    <w:p>
      <w:pPr>
        <w:pStyle w:val="77"/>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bookmarkEnd w:id="863"/>
    <w:bookmarkEnd w:id="864"/>
    <w:p>
      <w:pPr>
        <w:pStyle w:val="110"/>
        <w:spacing w:before="156" w:after="156"/>
        <w:rPr>
          <w:rFonts w:ascii="黑体" w:hAnsi="黑体" w:cs="黑体"/>
          <w:color w:val="000000" w:themeColor="text1"/>
          <w:sz w:val="24"/>
          <w:szCs w:val="24"/>
          <w14:textFill>
            <w14:solidFill>
              <w14:schemeClr w14:val="tx1"/>
            </w14:solidFill>
          </w14:textFill>
        </w:rPr>
      </w:pPr>
      <w:bookmarkStart w:id="867" w:name="_Toc12213"/>
      <w:bookmarkStart w:id="868" w:name="_Toc25590"/>
      <w:bookmarkStart w:id="869" w:name="_Toc522893269"/>
      <w:bookmarkStart w:id="870" w:name="_Toc528234280"/>
      <w:bookmarkStart w:id="871" w:name="_Toc523219338"/>
      <w:bookmarkStart w:id="872" w:name="_Toc523223926"/>
      <w:bookmarkStart w:id="873" w:name="_Toc523220142"/>
      <w:bookmarkStart w:id="874" w:name="_Toc27036"/>
      <w:bookmarkStart w:id="875" w:name="_Toc523219627"/>
      <w:bookmarkStart w:id="876" w:name="_Toc523223386"/>
      <w:bookmarkStart w:id="877" w:name="_Toc529453298"/>
      <w:bookmarkStart w:id="878" w:name="_Toc523153573"/>
      <w:bookmarkStart w:id="879" w:name="_Toc529453144"/>
      <w:bookmarkStart w:id="880" w:name="_Toc527026603"/>
      <w:bookmarkStart w:id="881" w:name="_Toc8164"/>
      <w:bookmarkStart w:id="882" w:name="_Toc3563"/>
      <w:bookmarkStart w:id="883" w:name="_Toc21697"/>
      <w:bookmarkStart w:id="884" w:name="_Toc6786_WPSOffice_Level1"/>
      <w:bookmarkStart w:id="885" w:name="_Toc10542"/>
      <w:bookmarkStart w:id="886" w:name="_Toc13517"/>
      <w:bookmarkStart w:id="887" w:name="_Toc29630"/>
      <w:bookmarkStart w:id="888" w:name="_Toc523220145"/>
      <w:bookmarkStart w:id="889" w:name="_Toc523153576"/>
      <w:bookmarkStart w:id="890" w:name="_Toc523223929"/>
      <w:bookmarkStart w:id="891" w:name="_Toc529453300"/>
      <w:bookmarkStart w:id="892" w:name="_Toc523219630"/>
      <w:bookmarkStart w:id="893" w:name="_Toc528234282"/>
      <w:bookmarkStart w:id="894" w:name="_Toc4311"/>
      <w:bookmarkStart w:id="895" w:name="_Toc527026606"/>
      <w:bookmarkStart w:id="896" w:name="_Toc529453146"/>
      <w:bookmarkStart w:id="897" w:name="_Toc522893272"/>
      <w:bookmarkStart w:id="898" w:name="_Toc13018"/>
      <w:bookmarkStart w:id="899" w:name="_Toc523223389"/>
      <w:bookmarkStart w:id="900" w:name="_Toc523219341"/>
      <w:bookmarkStart w:id="901" w:name="_Toc21825"/>
      <w:r>
        <w:rPr>
          <w:rFonts w:hint="eastAsia" w:cs="黑体"/>
          <w:color w:val="000000" w:themeColor="text1"/>
          <w:sz w:val="24"/>
          <w:szCs w:val="24"/>
          <w14:textFill>
            <w14:solidFill>
              <w14:schemeClr w14:val="tx1"/>
            </w14:solidFill>
          </w14:textFill>
        </w:rPr>
        <w:t>附件</w:t>
      </w:r>
      <w:bookmarkEnd w:id="867"/>
      <w:r>
        <w:rPr>
          <w:rFonts w:hint="eastAsia" w:cs="黑体"/>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城厢区集中式地表水饮用水水源地突发环境事件应急物资</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黑体" w:hAnsi="黑体" w:cs="黑体"/>
          <w:color w:val="000000" w:themeColor="text1"/>
          <w:sz w:val="24"/>
          <w:szCs w:val="24"/>
          <w14:textFill>
            <w14:solidFill>
              <w14:schemeClr w14:val="tx1"/>
            </w14:solidFill>
          </w14:textFill>
        </w:rPr>
        <w:t>储备情况</w:t>
      </w:r>
      <w:bookmarkEnd w:id="881"/>
    </w:p>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表1  莆田市</w:t>
      </w:r>
      <w:r>
        <w:rPr>
          <w:rFonts w:hint="eastAsia"/>
          <w:b/>
          <w:bCs/>
          <w:color w:val="000000" w:themeColor="text1"/>
          <w:sz w:val="24"/>
          <w:szCs w:val="24"/>
          <w:lang w:eastAsia="zh-CN"/>
          <w14:textFill>
            <w14:solidFill>
              <w14:schemeClr w14:val="tx1"/>
            </w14:solidFill>
          </w14:textFill>
        </w:rPr>
        <w:t>生态环境局</w:t>
      </w:r>
      <w:r>
        <w:rPr>
          <w:rFonts w:hint="eastAsia"/>
          <w:b/>
          <w:bCs/>
          <w:color w:val="000000" w:themeColor="text1"/>
          <w:sz w:val="24"/>
          <w:szCs w:val="24"/>
          <w14:textFill>
            <w14:solidFill>
              <w14:schemeClr w14:val="tx1"/>
            </w14:solidFill>
          </w14:textFill>
        </w:rPr>
        <w:t>（市环境监察支队）</w:t>
      </w:r>
      <w:r>
        <w:rPr>
          <w:b/>
          <w:bCs/>
          <w:color w:val="000000" w:themeColor="text1"/>
          <w:sz w:val="24"/>
          <w:szCs w:val="24"/>
          <w14:textFill>
            <w14:solidFill>
              <w14:schemeClr w14:val="tx1"/>
            </w14:solidFill>
          </w14:textFill>
        </w:rPr>
        <w:t>应急能力建设应急物资明细表</w:t>
      </w:r>
    </w:p>
    <w:tbl>
      <w:tblPr>
        <w:tblStyle w:val="39"/>
        <w:tblW w:w="935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6"/>
        <w:gridCol w:w="4740"/>
        <w:gridCol w:w="660"/>
        <w:gridCol w:w="755"/>
        <w:gridCol w:w="25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474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66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75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量纲</w:t>
            </w:r>
          </w:p>
        </w:tc>
        <w:tc>
          <w:tcPr>
            <w:tcW w:w="2583"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气体致密型化学防护服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件</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液体致密型化学防护服或粉尘致密型化学防护服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应急现场工作服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易燃易爆气体报警装置</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有毒有害气体检测报警装置2台、辐射报警装置2台、医用急救箱3台、应急供电、照明设备1套、睡</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辐射报警装置</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医用急救箱</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应急供电、照明设备</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5"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睡袋</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帐篷</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顶</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高精度GPS定位仪</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激光测距望远镜</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防爆对讲机</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部</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环境应急巡视系统</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（无人机1架+摄像+废气监测仪及适时传输系统）</w:t>
            </w:r>
          </w:p>
        </w:tc>
      </w:tr>
    </w:tbl>
    <w:p>
      <w:pPr>
        <w:pStyle w:val="38"/>
        <w:spacing w:line="360" w:lineRule="auto"/>
        <w:ind w:firstLine="1205" w:firstLineChars="5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表2  </w:t>
      </w:r>
      <w:r>
        <w:rPr>
          <w:rFonts w:hint="eastAsia"/>
          <w:b/>
          <w:bCs/>
          <w:color w:val="000000" w:themeColor="text1"/>
          <w:sz w:val="24"/>
          <w:szCs w:val="24"/>
          <w:lang w:eastAsia="zh-CN"/>
          <w14:textFill>
            <w14:solidFill>
              <w14:schemeClr w14:val="tx1"/>
            </w14:solidFill>
          </w14:textFill>
        </w:rPr>
        <w:t>城厢区生态环境局</w:t>
      </w:r>
      <w:r>
        <w:rPr>
          <w:b/>
          <w:bCs/>
          <w:color w:val="000000" w:themeColor="text1"/>
          <w:sz w:val="24"/>
          <w:szCs w:val="24"/>
          <w14:textFill>
            <w14:solidFill>
              <w14:schemeClr w14:val="tx1"/>
            </w14:solidFill>
          </w14:textFill>
        </w:rPr>
        <w:t>应急能力建设应急物资明细表</w:t>
      </w:r>
    </w:p>
    <w:tbl>
      <w:tblPr>
        <w:tblStyle w:val="39"/>
        <w:tblW w:w="937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1"/>
        <w:gridCol w:w="2430"/>
        <w:gridCol w:w="1245"/>
        <w:gridCol w:w="1078"/>
        <w:gridCol w:w="2838"/>
        <w:gridCol w:w="628"/>
        <w:gridCol w:w="6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43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124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应急用途</w:t>
            </w:r>
          </w:p>
        </w:tc>
        <w:tc>
          <w:tcPr>
            <w:tcW w:w="107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品牌</w:t>
            </w:r>
          </w:p>
        </w:tc>
        <w:tc>
          <w:tcPr>
            <w:tcW w:w="283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规格型号</w:t>
            </w:r>
          </w:p>
        </w:tc>
        <w:tc>
          <w:tcPr>
            <w:tcW w:w="62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b/>
                <w:color w:val="000000" w:themeColor="text1"/>
                <w:sz w:val="18"/>
                <w:szCs w:val="18"/>
                <w14:textFill>
                  <w14:solidFill>
                    <w14:schemeClr w14:val="tx1"/>
                  </w14:solidFill>
                </w14:textFill>
              </w:rPr>
            </w:pPr>
            <w:r>
              <w:rPr>
                <w:b/>
                <w:color w:val="000000" w:themeColor="text1"/>
                <w:kern w:val="0"/>
                <w:sz w:val="18"/>
                <w:szCs w:val="18"/>
                <w14:textFill>
                  <w14:solidFill>
                    <w14:schemeClr w14:val="tx1"/>
                  </w14:solidFill>
                </w14:textFill>
              </w:rPr>
              <w:t>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激光测距测高望远镜</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应急监测</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博士能</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202310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GPS卫星定位仪</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应急监测</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中海达</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Qcooli7</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帐篷</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牧高笛</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MZ2092006</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睡袋</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牧高笛</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MF091006</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医用急救箱</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60916901</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应急工作服</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工作日常</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哥伦比亚</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三合一冲锋衣</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防爆对讲机</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应急通信</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海能达</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TC700Ex</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有毒有害气体报警装置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X-am5000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易燃易爆气体报警装置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X-am2500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液密型化学防护服</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应急防护</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WorkstarPVC（配NOVA面罩）</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辐射报警装置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华瑞</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PRM1200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bl>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表3 </w:t>
      </w:r>
      <w:r>
        <w:rPr>
          <w:b/>
          <w:bCs/>
          <w:color w:val="000000" w:themeColor="text1"/>
          <w:sz w:val="24"/>
          <w:szCs w:val="24"/>
          <w14:textFill>
            <w14:solidFill>
              <w14:schemeClr w14:val="tx1"/>
            </w14:solidFill>
          </w14:textFill>
        </w:rPr>
        <w:t>城厢区生态环境局应急能力建设应急物资明细表（2019年新购）</w:t>
      </w:r>
    </w:p>
    <w:tbl>
      <w:tblPr>
        <w:tblStyle w:val="39"/>
        <w:tblW w:w="948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40"/>
        <w:gridCol w:w="1004"/>
        <w:gridCol w:w="1639"/>
        <w:gridCol w:w="597"/>
        <w:gridCol w:w="600"/>
        <w:gridCol w:w="735"/>
        <w:gridCol w:w="675"/>
        <w:gridCol w:w="26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48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14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1004"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应急用途</w:t>
            </w:r>
          </w:p>
        </w:tc>
        <w:tc>
          <w:tcPr>
            <w:tcW w:w="1639"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型号规格</w:t>
            </w:r>
          </w:p>
        </w:tc>
        <w:tc>
          <w:tcPr>
            <w:tcW w:w="597"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60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量纲</w:t>
            </w:r>
          </w:p>
        </w:tc>
        <w:tc>
          <w:tcPr>
            <w:tcW w:w="73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单价</w:t>
            </w:r>
          </w:p>
        </w:tc>
        <w:tc>
          <w:tcPr>
            <w:tcW w:w="67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总价</w:t>
            </w:r>
          </w:p>
        </w:tc>
        <w:tc>
          <w:tcPr>
            <w:tcW w:w="261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使用说明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防护服</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雷克兰AMN428ETS</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5120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可防护传染病毒，生化病毒。一次性使用。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口罩</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德尔格X-plore1330VO</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7200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防臭可多次使用，疫情防护为一次性使用。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护目镜</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羿科Bluestell E304</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副</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防护靴</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羿科60700104</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双</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手套</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羿科60600701</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双</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270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可多次使用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手套</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爱马斯AMMEX</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盒</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72</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一次性医用手套，一盒100个</w:t>
            </w:r>
          </w:p>
        </w:tc>
      </w:tr>
    </w:tbl>
    <w:p>
      <w:pPr>
        <w:pStyle w:val="38"/>
        <w:spacing w:line="360" w:lineRule="auto"/>
        <w:ind w:firstLine="241"/>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市级环境应急物资储备库建设情况</w:t>
      </w:r>
    </w:p>
    <w:tbl>
      <w:tblPr>
        <w:tblStyle w:val="39"/>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410"/>
        <w:gridCol w:w="2157"/>
        <w:gridCol w:w="6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157"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依托承建（存放）单位</w:t>
            </w:r>
          </w:p>
        </w:tc>
        <w:tc>
          <w:tcPr>
            <w:tcW w:w="6993"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东圳水库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草酸1t、石灰粉7t、絮凝剂5t、颗粒状活性碳2t、漂白粉2t、编织袋1000个、泡沫围油栏1000m、吸油毡8t、应急潜水泵5台。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金钟水库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草酸1t、石灰粉7t、絮凝剂5t、颗粒状活性碳2t、漂白粉1t、编织袋1000个、泡沫围油栏1000m、吸油毡4t、应急潜水泵5台。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外渡水库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草酸1t、石灰粉7t、絮凝剂5t、颗粒状活性碳1t、漂白粉1t、编织袋500个、泡沫围油栏500m、吸油毡3t。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古洋水库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石灰粉7t、絮凝剂5t、颗粒状活性碳1t、漂白粉1t、编织袋500个、泡沫围油栏500m、吸油毡3t。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莆田市生态环境局</w:t>
            </w:r>
          </w:p>
          <w:p>
            <w:pPr>
              <w:jc w:val="center"/>
              <w:rPr>
                <w:color w:val="000000" w:themeColor="text1"/>
                <w14:textFill>
                  <w14:solidFill>
                    <w14:schemeClr w14:val="tx1"/>
                  </w14:solidFill>
                </w14:textFill>
              </w:rPr>
            </w:pPr>
            <w:r>
              <w:rPr>
                <w:color w:val="000000" w:themeColor="text1"/>
                <w14:textFill>
                  <w14:solidFill>
                    <w14:schemeClr w14:val="tx1"/>
                  </w14:solidFill>
                </w14:textFill>
              </w:rPr>
              <w:t>（市环境监察支队）</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气体致密型化学防护服2件、液体致密型化学防护服或粉尘致密型化学防护服5件、应急现场工作服5套、易燃易爆气体报警装置2台、有毒有害气体检测报警装置2台、辐射报警装置2台、医用急救箱3台、应急供电、照明设备1套、睡袋4套、帐篷2顶；高精度GPS定位仪2台、激光测距望远镜1台、防爆对讲机6部；环境应急巡视系统1套（无人机1架+摄像+废气监测仪及适时传输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赛得利（福建）纤维有限公司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应急潜水泵5台、硫酸100m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、防护服（正压式空气呼吸器）2套、轻型防化服100套、防酸碱面罩4副、防毒面具200副、消防隔热服8套、烧碱（32%）500吨。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福建荔元活性炭有限公司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活性炭（粉末状）50吨。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莆田市海神船</w:t>
            </w:r>
          </w:p>
          <w:p>
            <w:pPr>
              <w:jc w:val="center"/>
              <w:rPr>
                <w:color w:val="000000" w:themeColor="text1"/>
                <w14:textFill>
                  <w14:solidFill>
                    <w14:schemeClr w14:val="tx1"/>
                  </w14:solidFill>
                </w14:textFill>
              </w:rPr>
            </w:pPr>
            <w:r>
              <w:rPr>
                <w:color w:val="000000" w:themeColor="text1"/>
                <w14:textFill>
                  <w14:solidFill>
                    <w14:schemeClr w14:val="tx1"/>
                  </w14:solidFill>
                </w14:textFill>
              </w:rPr>
              <w:t>务有限公司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120KW发电机组1套、PN10临时储存装置1个、吸油拖栏1000m、充气式橡胶围油栏（含充吸机一套）800m、充气式橡胶围油栏卷绕架4套、充气式橡胶围油栏动力站1套、防火围油栏600米、动态斜面式收油机1套、上行带式收油机1套、真空式收油机2套、轻便储油罐6套、浮动油囊2套、高压热水清洗机4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莆田市城厢区昌德食品有限公司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片碱10吨。</w:t>
            </w:r>
          </w:p>
        </w:tc>
      </w:tr>
    </w:tbl>
    <w:p>
      <w:pPr>
        <w:pStyle w:val="78"/>
        <w:spacing w:before="156" w:after="156"/>
        <w:rPr>
          <w:rFonts w:cs="黑体"/>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表3  外部企业集中式地表水饮用水水源地突发环境事件应急物资储备清单</w:t>
      </w:r>
    </w:p>
    <w:tbl>
      <w:tblPr>
        <w:tblStyle w:val="39"/>
        <w:tblW w:w="7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968"/>
        <w:gridCol w:w="2050"/>
        <w:gridCol w:w="3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应急物资名称</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便携式抽动泵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莆田市纵横危险品运输有限公司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发电机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莆田市水务投资集团有限公司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防化服</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4套</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百威英博雪津啤酒有限公司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空气呼吸器</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倒流管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2条</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福建中闽物流有限公司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应急发电机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21.6KW--24KW、64KW—70.4KW各2台</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中海福建天然气有限责任公司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移动灯车</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汽车吊</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25T 1台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手提式防爆探照灯</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RJW7102A/LT 10套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充气式围油栏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800m</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莆田海事局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防火围油栏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600m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浮动油囊</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中海福建天然气有限责任公司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橡胶围油栏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1469m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0.8T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福建八方港口发展有限公司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1500m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福建莆头港口开发有限公司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1040</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5台</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莆田市海神船务有限公司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4260</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4.35T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收油船</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2360</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莆田市辰龙船务有限公司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收油船</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bl>
    <w:p>
      <w:pPr>
        <w:pStyle w:val="78"/>
        <w:spacing w:before="156" w:after="156"/>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outlineLvl w:val="1"/>
        <w:rPr>
          <w:rFonts w:ascii="黑体" w:hAnsi="黑体" w:eastAsia="黑体" w:cs="黑体"/>
          <w:color w:val="000000" w:themeColor="text1"/>
          <w:kern w:val="0"/>
          <w:sz w:val="24"/>
          <w:szCs w:val="24"/>
          <w14:textFill>
            <w14:solidFill>
              <w14:schemeClr w14:val="tx1"/>
            </w14:solidFill>
          </w14:textFill>
        </w:rPr>
      </w:pPr>
      <w:bookmarkStart w:id="902" w:name="_Toc22500"/>
      <w:r>
        <w:rPr>
          <w:rFonts w:hint="eastAsia" w:ascii="黑体" w:hAnsi="黑体" w:eastAsia="黑体" w:cs="黑体"/>
          <w:color w:val="000000" w:themeColor="text1"/>
          <w:kern w:val="0"/>
          <w:sz w:val="24"/>
          <w:szCs w:val="24"/>
          <w14:textFill>
            <w14:solidFill>
              <w14:schemeClr w14:val="tx1"/>
            </w14:solidFill>
          </w14:textFill>
        </w:rPr>
        <w:t>附件</w:t>
      </w:r>
      <w:r>
        <w:rPr>
          <w:rFonts w:hint="eastAsia" w:ascii="黑体" w:hAnsi="黑体" w:eastAsia="黑体" w:cs="黑体"/>
          <w:color w:val="000000" w:themeColor="text1"/>
          <w:kern w:val="0"/>
          <w:sz w:val="24"/>
          <w:szCs w:val="24"/>
          <w:lang w:val="en-US" w:eastAsia="zh-CN"/>
          <w14:textFill>
            <w14:solidFill>
              <w14:schemeClr w14:val="tx1"/>
            </w14:solidFill>
          </w14:textFill>
        </w:rPr>
        <w:t>8</w:t>
      </w:r>
      <w:r>
        <w:rPr>
          <w:rFonts w:hint="eastAsia" w:ascii="黑体" w:hAnsi="黑体" w:eastAsia="黑体" w:cs="黑体"/>
          <w:color w:val="000000" w:themeColor="text1"/>
          <w:kern w:val="0"/>
          <w:sz w:val="24"/>
          <w:szCs w:val="24"/>
          <w14:textFill>
            <w14:solidFill>
              <w14:schemeClr w14:val="tx1"/>
            </w14:solidFill>
          </w14:textFill>
        </w:rPr>
        <w:t>：突发事件应急预案启动令</w:t>
      </w:r>
      <w:bookmarkEnd w:id="882"/>
      <w:bookmarkEnd w:id="883"/>
      <w:bookmarkEnd w:id="884"/>
      <w:bookmarkEnd w:id="885"/>
      <w:bookmarkEnd w:id="886"/>
      <w:r>
        <w:rPr>
          <w:rFonts w:hint="eastAsia" w:ascii="黑体" w:hAnsi="黑体" w:eastAsia="黑体" w:cs="黑体"/>
          <w:color w:val="000000" w:themeColor="text1"/>
          <w:kern w:val="0"/>
          <w:sz w:val="24"/>
          <w:szCs w:val="24"/>
          <w14:textFill>
            <w14:solidFill>
              <w14:schemeClr w14:val="tx1"/>
            </w14:solidFill>
          </w14:textFill>
        </w:rPr>
        <w:t>和终止令</w:t>
      </w:r>
      <w:bookmarkEnd w:id="902"/>
    </w:p>
    <w:p>
      <w:pPr>
        <w:spacing w:beforeLines="50" w:afterLines="50" w:line="600" w:lineRule="exact"/>
        <w:rPr>
          <w:rFonts w:eastAsia="仿宋_GB2312"/>
          <w:b/>
          <w:color w:val="000000" w:themeColor="text1"/>
          <w:sz w:val="32"/>
          <w:szCs w:val="32"/>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bookmarkStart w:id="903" w:name="_Toc32232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03"/>
      <w:bookmarkStart w:id="904" w:name="_Toc3780_WPSOffice_Level1"/>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突发环境事件应急预案</w:t>
      </w:r>
      <w:bookmarkEnd w:id="904"/>
    </w:p>
    <w:p>
      <w:pPr>
        <w:spacing w:line="360" w:lineRule="auto"/>
        <w:jc w:val="center"/>
        <w:rPr>
          <w:b/>
          <w:bCs/>
          <w:color w:val="000000" w:themeColor="text1"/>
          <w:sz w:val="36"/>
          <w:szCs w:val="36"/>
          <w14:textFill>
            <w14:solidFill>
              <w14:schemeClr w14:val="tx1"/>
            </w14:solidFill>
          </w14:textFill>
        </w:rPr>
      </w:pPr>
      <w:bookmarkStart w:id="905" w:name="_Toc20020_WPSOffice_Level1"/>
      <w:r>
        <w:rPr>
          <w:rFonts w:hint="eastAsia"/>
          <w:b/>
          <w:bCs/>
          <w:color w:val="000000" w:themeColor="text1"/>
          <w:sz w:val="36"/>
          <w:szCs w:val="36"/>
          <w14:textFill>
            <w14:solidFill>
              <w14:schemeClr w14:val="tx1"/>
            </w14:solidFill>
          </w14:textFill>
        </w:rPr>
        <w:t>启动令</w:t>
      </w:r>
      <w:bookmarkEnd w:id="905"/>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1120" w:firstLineChars="4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日，发生在</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(地点)的</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(事件名称)，其标准已达到突发事件(</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)级响应标准，现启动突发环境事件响应，相关单位做好应急响应工作。</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bookmarkStart w:id="906" w:name="_Toc4171_WPSOffice_Level1"/>
      <w:r>
        <w:rPr>
          <w:color w:val="000000" w:themeColor="text1"/>
          <w:sz w:val="28"/>
          <w:szCs w:val="28"/>
          <w14:textFill>
            <w14:solidFill>
              <w14:schemeClr w14:val="tx1"/>
            </w14:solidFill>
          </w14:textFill>
        </w:rPr>
        <w:t>签发人：</w:t>
      </w:r>
      <w:bookmarkEnd w:id="906"/>
    </w:p>
    <w:p>
      <w:pPr>
        <w:spacing w:line="360" w:lineRule="auto"/>
        <w:ind w:firstLine="7000" w:firstLineChars="25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pPr>
        <w:ind w:firstLine="632" w:firstLineChars="300"/>
        <w:outlineLvl w:val="1"/>
        <w:rPr>
          <w:b/>
          <w:bCs/>
          <w:color w:val="000000" w:themeColor="text1"/>
          <w:kern w:val="0"/>
          <w:szCs w:val="24"/>
          <w14:textFill>
            <w14:solidFill>
              <w14:schemeClr w14:val="tx1"/>
            </w14:solidFill>
          </w14:textFill>
        </w:rPr>
        <w:sectPr>
          <w:pgSz w:w="11906" w:h="16838"/>
          <w:pgMar w:top="1134" w:right="1134" w:bottom="1134" w:left="1134" w:header="851" w:footer="992" w:gutter="0"/>
          <w:cols w:space="720" w:num="1"/>
          <w:docGrid w:type="lines" w:linePitch="312" w:charSpace="0"/>
        </w:sectPr>
      </w:pPr>
    </w:p>
    <w:p>
      <w:pPr>
        <w:spacing w:line="360" w:lineRule="auto"/>
        <w:jc w:val="center"/>
        <w:rPr>
          <w:color w:val="000000" w:themeColor="text1"/>
          <w:sz w:val="28"/>
          <w:szCs w:val="28"/>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bookmarkStart w:id="907" w:name="_Toc32099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07"/>
      <w:bookmarkStart w:id="908" w:name="_Toc12644_WPSOffice_Level1"/>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突发环境事件应急预案</w:t>
      </w:r>
      <w:bookmarkEnd w:id="908"/>
    </w:p>
    <w:p>
      <w:pPr>
        <w:spacing w:line="360" w:lineRule="auto"/>
        <w:jc w:val="center"/>
        <w:rPr>
          <w:b/>
          <w:bCs/>
          <w:color w:val="000000" w:themeColor="text1"/>
          <w:sz w:val="36"/>
          <w:szCs w:val="36"/>
          <w14:textFill>
            <w14:solidFill>
              <w14:schemeClr w14:val="tx1"/>
            </w14:solidFill>
          </w14:textFill>
        </w:rPr>
      </w:pPr>
      <w:bookmarkStart w:id="909" w:name="_Toc7130_WPSOffice_Level1"/>
      <w:r>
        <w:rPr>
          <w:rFonts w:hint="eastAsia"/>
          <w:b/>
          <w:bCs/>
          <w:color w:val="000000" w:themeColor="text1"/>
          <w:sz w:val="36"/>
          <w:szCs w:val="36"/>
          <w14:textFill>
            <w14:solidFill>
              <w14:schemeClr w14:val="tx1"/>
            </w14:solidFill>
          </w14:textFill>
        </w:rPr>
        <w:t>终止令</w:t>
      </w:r>
      <w:bookmarkEnd w:id="909"/>
    </w:p>
    <w:p>
      <w:pPr>
        <w:spacing w:line="360" w:lineRule="auto"/>
        <w:ind w:firstLine="562" w:firstLineChars="200"/>
        <w:rPr>
          <w:b/>
          <w:bCs/>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日，发生在</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(地点)的</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(事件名称)，其应急响应工作已经结束，现终止</w:t>
      </w:r>
      <w:r>
        <w:rPr>
          <w:rFonts w:hint="eastAsia"/>
          <w:color w:val="000000" w:themeColor="text1"/>
          <w:sz w:val="28"/>
          <w:szCs w:val="28"/>
          <w14:textFill>
            <w14:solidFill>
              <w14:schemeClr w14:val="tx1"/>
            </w14:solidFill>
          </w14:textFill>
        </w:rPr>
        <w:t>城厢区集中式地表水饮用水水源地</w:t>
      </w:r>
      <w:r>
        <w:rPr>
          <w:color w:val="000000" w:themeColor="text1"/>
          <w:sz w:val="28"/>
          <w:szCs w:val="28"/>
          <w14:textFill>
            <w14:solidFill>
              <w14:schemeClr w14:val="tx1"/>
            </w14:solidFill>
          </w14:textFill>
        </w:rPr>
        <w:t>突发环境事件应急响应，请各相关单位做好后续处置工作。</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bookmarkStart w:id="910" w:name="_Toc31932_WPSOffice_Level1"/>
      <w:r>
        <w:rPr>
          <w:color w:val="000000" w:themeColor="text1"/>
          <w:sz w:val="28"/>
          <w:szCs w:val="28"/>
          <w14:textFill>
            <w14:solidFill>
              <w14:schemeClr w14:val="tx1"/>
            </w14:solidFill>
          </w14:textFill>
        </w:rPr>
        <w:t>签发人：</w:t>
      </w:r>
      <w:bookmarkEnd w:id="910"/>
    </w:p>
    <w:p>
      <w:pPr>
        <w:spacing w:line="360" w:lineRule="auto"/>
        <w:ind w:firstLine="7000" w:firstLineChars="2500"/>
        <w:rPr>
          <w:color w:val="000000" w:themeColor="text1"/>
          <w:sz w:val="28"/>
          <w:szCs w:val="28"/>
          <w14:textFill>
            <w14:solidFill>
              <w14:schemeClr w14:val="tx1"/>
            </w14:solidFill>
          </w14:textFill>
        </w:rPr>
        <w:sectPr>
          <w:pgSz w:w="11906" w:h="16838"/>
          <w:pgMar w:top="1134" w:right="1134" w:bottom="1134" w:left="1134" w:header="851" w:footer="992" w:gutter="0"/>
          <w:cols w:space="720" w:num="1"/>
          <w:docGrid w:type="lines" w:linePitch="312" w:charSpace="0"/>
        </w:sect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pPr>
        <w:pStyle w:val="110"/>
        <w:spacing w:before="156" w:after="156"/>
        <w:rPr>
          <w:rFonts w:cs="黑体"/>
          <w:color w:val="000000" w:themeColor="text1"/>
          <w:sz w:val="24"/>
          <w:szCs w:val="24"/>
          <w14:textFill>
            <w14:solidFill>
              <w14:schemeClr w14:val="tx1"/>
            </w14:solidFill>
          </w14:textFill>
        </w:rPr>
      </w:pPr>
      <w:bookmarkStart w:id="911" w:name="_Toc17720"/>
      <w:r>
        <w:rPr>
          <w:rFonts w:hint="eastAsia" w:cs="黑体"/>
          <w:color w:val="000000" w:themeColor="text1"/>
          <w:sz w:val="24"/>
          <w:szCs w:val="24"/>
          <w14:textFill>
            <w14:solidFill>
              <w14:schemeClr w14:val="tx1"/>
            </w14:solidFill>
          </w14:textFill>
        </w:rPr>
        <w:t>附件</w:t>
      </w:r>
      <w:bookmarkEnd w:id="887"/>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：突发环境事件应急结束宣布格式内容</w:t>
      </w:r>
      <w:bookmarkEnd w:id="911"/>
    </w:p>
    <w:p>
      <w:pPr>
        <w:pStyle w:val="78"/>
        <w:spacing w:before="156" w:after="156"/>
        <w:rPr>
          <w:rFonts w:ascii="黑体" w:hAnsi="黑体" w:cs="黑体"/>
          <w:color w:val="000000" w:themeColor="text1"/>
          <w:sz w:val="28"/>
          <w:szCs w:val="28"/>
          <w14:textFill>
            <w14:solidFill>
              <w14:schemeClr w14:val="tx1"/>
            </w14:solidFill>
          </w14:textFill>
        </w:rPr>
      </w:pPr>
      <w:bookmarkStart w:id="912" w:name="_Toc7735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12"/>
    </w:p>
    <w:p>
      <w:pPr>
        <w:pStyle w:val="78"/>
        <w:spacing w:before="156" w:after="156"/>
        <w:rPr>
          <w:b/>
          <w:bCs/>
          <w:color w:val="000000" w:themeColor="text1"/>
          <w:sz w:val="36"/>
          <w:szCs w:val="36"/>
          <w14:textFill>
            <w14:solidFill>
              <w14:schemeClr w14:val="tx1"/>
            </w14:solidFill>
          </w14:textFill>
        </w:rPr>
      </w:pPr>
      <w:bookmarkStart w:id="913" w:name="_Toc16016_WPSOffice_Level1"/>
      <w:r>
        <w:rPr>
          <w:rFonts w:hint="eastAsia"/>
          <w:b/>
          <w:bCs/>
          <w:color w:val="000000" w:themeColor="text1"/>
          <w:sz w:val="36"/>
          <w:szCs w:val="36"/>
          <w14:textFill>
            <w14:solidFill>
              <w14:schemeClr w14:val="tx1"/>
            </w14:solidFill>
          </w14:textFill>
        </w:rPr>
        <w:t>突发环境事件应急结束宣布格式内容</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13"/>
    </w:p>
    <w:p>
      <w:pPr>
        <w:pStyle w:val="77"/>
        <w:rPr>
          <w:rFonts w:cs="宋体"/>
          <w:color w:val="000000" w:themeColor="text1"/>
          <w:sz w:val="28"/>
          <w:szCs w:val="28"/>
          <w14:textFill>
            <w14:solidFill>
              <w14:schemeClr w14:val="tx1"/>
            </w14:solidFill>
          </w14:textFill>
        </w:rPr>
      </w:pPr>
    </w:p>
    <w:p>
      <w:pPr>
        <w:pStyle w:val="77"/>
        <w:jc w:val="lef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经过莆田市城厢区人民政府和</w:t>
      </w:r>
      <w:r>
        <w:rPr>
          <w:color w:val="000000" w:themeColor="text1"/>
          <w:sz w:val="28"/>
          <w:szCs w:val="28"/>
          <w14:textFill>
            <w14:solidFill>
              <w14:schemeClr w14:val="tx1"/>
            </w14:solidFill>
          </w14:textFill>
        </w:rPr>
        <w:t>_____________</w:t>
      </w:r>
      <w:r>
        <w:rPr>
          <w:rFonts w:hint="eastAsia" w:cs="宋体"/>
          <w:color w:val="000000" w:themeColor="text1"/>
          <w:sz w:val="28"/>
          <w:szCs w:val="28"/>
          <w14:textFill>
            <w14:solidFill>
              <w14:schemeClr w14:val="tx1"/>
            </w14:solidFill>
          </w14:textFill>
        </w:rPr>
        <w:t>专业（部门）的及时处理处置，发生在</w:t>
      </w:r>
      <w:r>
        <w:rPr>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___</w:t>
      </w:r>
      <w:r>
        <w:rPr>
          <w:rFonts w:hint="eastAsia" w:cs="宋体"/>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_________________________________</w:t>
      </w:r>
      <w:r>
        <w:rPr>
          <w:rFonts w:hint="eastAsia" w:cs="宋体"/>
          <w:color w:val="000000" w:themeColor="text1"/>
          <w:sz w:val="28"/>
          <w:szCs w:val="28"/>
          <w14:textFill>
            <w14:solidFill>
              <w14:schemeClr w14:val="tx1"/>
            </w14:solidFill>
          </w14:textFill>
        </w:rPr>
        <w:t>（地方）</w:t>
      </w:r>
      <w:r>
        <w:rPr>
          <w:rFonts w:hint="eastAsia" w:cs="宋体"/>
          <w:vanish/>
          <w:color w:val="000000" w:themeColor="text1"/>
          <w:sz w:val="28"/>
          <w:szCs w:val="28"/>
          <w14:textFill>
            <w14:solidFill>
              <w14:schemeClr w14:val="tx1"/>
            </w14:solidFill>
          </w14:textFill>
        </w:rPr>
        <w:t>饮用水水源地突发环境事件</w:t>
      </w:r>
      <w:r>
        <w:rPr>
          <w:rFonts w:hint="eastAsia" w:cs="宋体"/>
          <w:color w:val="000000" w:themeColor="text1"/>
          <w:sz w:val="28"/>
          <w:szCs w:val="28"/>
          <w14:textFill>
            <w14:solidFill>
              <w14:schemeClr w14:val="tx1"/>
            </w14:solidFill>
          </w14:textFill>
        </w:rPr>
        <w:t>救援工作基本结束，现场基本恢复，现场应急指挥部撤销，相关部门认真做好善后恢复工作。</w:t>
      </w:r>
    </w:p>
    <w:p>
      <w:pPr>
        <w:pStyle w:val="77"/>
        <w:rPr>
          <w:color w:val="000000" w:themeColor="text1"/>
          <w:sz w:val="28"/>
          <w:szCs w:val="28"/>
          <w14:textFill>
            <w14:solidFill>
              <w14:schemeClr w14:val="tx1"/>
            </w14:solidFill>
          </w14:textFill>
        </w:rPr>
      </w:pPr>
    </w:p>
    <w:p>
      <w:pPr>
        <w:pStyle w:val="77"/>
        <w:rPr>
          <w:color w:val="000000" w:themeColor="text1"/>
          <w:sz w:val="28"/>
          <w:szCs w:val="28"/>
          <w14:textFill>
            <w14:solidFill>
              <w14:schemeClr w14:val="tx1"/>
            </w14:solidFill>
          </w14:textFill>
        </w:rPr>
      </w:pPr>
    </w:p>
    <w:p>
      <w:pPr>
        <w:pStyle w:val="77"/>
        <w:rPr>
          <w:color w:val="000000" w:themeColor="text1"/>
          <w:sz w:val="28"/>
          <w:szCs w:val="28"/>
          <w14:textFill>
            <w14:solidFill>
              <w14:schemeClr w14:val="tx1"/>
            </w14:solidFill>
          </w14:textFill>
        </w:rPr>
      </w:pPr>
    </w:p>
    <w:p>
      <w:pPr>
        <w:pStyle w:val="77"/>
        <w:ind w:right="526"/>
        <w:jc w:val="righ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莆田市城厢区人民政府</w:t>
      </w:r>
    </w:p>
    <w:p>
      <w:pPr>
        <w:pStyle w:val="77"/>
        <w:ind w:right="480"/>
        <w:jc w:val="righ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年 </w:t>
      </w:r>
      <w:r>
        <w:rPr>
          <w:rFonts w:hint="eastAsia"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 xml:space="preserve">月 </w:t>
      </w:r>
      <w:r>
        <w:rPr>
          <w:rFonts w:hint="eastAsia"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日</w:t>
      </w:r>
    </w:p>
    <w:p>
      <w:pPr>
        <w:pStyle w:val="77"/>
        <w:ind w:firstLine="640"/>
        <w:rPr>
          <w:color w:val="000000" w:themeColor="text1"/>
          <w:sz w:val="32"/>
          <w:szCs w:val="32"/>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110"/>
        <w:spacing w:before="156" w:after="156"/>
        <w:rPr>
          <w:rFonts w:ascii="黑体" w:hAnsi="黑体" w:cs="黑体"/>
          <w:color w:val="000000" w:themeColor="text1"/>
          <w:sz w:val="24"/>
          <w:szCs w:val="24"/>
          <w14:textFill>
            <w14:solidFill>
              <w14:schemeClr w14:val="tx1"/>
            </w14:solidFill>
          </w14:textFill>
        </w:rPr>
      </w:pPr>
      <w:bookmarkStart w:id="914" w:name="_Toc7694"/>
      <w:bookmarkStart w:id="915" w:name="_Toc22372"/>
      <w:bookmarkStart w:id="916" w:name="_Toc522893273"/>
      <w:bookmarkStart w:id="917" w:name="_Toc528234283"/>
      <w:bookmarkStart w:id="918" w:name="_Toc529453147"/>
      <w:bookmarkStart w:id="919" w:name="_Toc523220146"/>
      <w:bookmarkStart w:id="920" w:name="_Toc529453301"/>
      <w:bookmarkStart w:id="921" w:name="_Toc523223930"/>
      <w:bookmarkStart w:id="922" w:name="_Toc523153577"/>
      <w:bookmarkStart w:id="923" w:name="_Toc20586"/>
      <w:bookmarkStart w:id="924" w:name="_Toc523219631"/>
      <w:bookmarkStart w:id="925" w:name="_Toc214963599"/>
      <w:bookmarkStart w:id="926" w:name="_Toc144871296"/>
      <w:bookmarkStart w:id="927" w:name="_Toc523223390"/>
      <w:bookmarkStart w:id="928" w:name="_Toc523219342"/>
      <w:bookmarkStart w:id="929" w:name="_Toc13544"/>
      <w:bookmarkStart w:id="930" w:name="_Toc29867"/>
      <w:bookmarkStart w:id="931" w:name="_Toc527026607"/>
      <w:bookmarkStart w:id="932" w:name="_Toc5421"/>
      <w:r>
        <w:rPr>
          <w:rFonts w:hint="eastAsia" w:cs="黑体"/>
          <w:color w:val="000000" w:themeColor="text1"/>
          <w:sz w:val="24"/>
          <w:szCs w:val="24"/>
          <w14:textFill>
            <w14:solidFill>
              <w14:schemeClr w14:val="tx1"/>
            </w14:solidFill>
          </w14:textFill>
        </w:rPr>
        <w:t>附件</w:t>
      </w:r>
      <w:r>
        <w:rPr>
          <w:color w:val="000000" w:themeColor="text1"/>
          <w:sz w:val="24"/>
          <w:szCs w:val="24"/>
          <w14:textFill>
            <w14:solidFill>
              <w14:schemeClr w14:val="tx1"/>
            </w14:solidFill>
          </w14:textFill>
        </w:rPr>
        <w:t>1</w:t>
      </w:r>
      <w:bookmarkEnd w:id="914"/>
      <w:bookmarkEnd w:id="915"/>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Start w:id="933" w:name="_Hlk522028939"/>
      <w:bookmarkEnd w:id="933"/>
      <w:r>
        <w:rPr>
          <w:rFonts w:hint="eastAsia" w:ascii="黑体" w:hAnsi="黑体" w:cs="黑体"/>
          <w:color w:val="000000" w:themeColor="text1"/>
          <w:sz w:val="24"/>
          <w:szCs w:val="24"/>
          <w14:textFill>
            <w14:solidFill>
              <w14:schemeClr w14:val="tx1"/>
            </w14:solidFill>
          </w14:textFill>
        </w:rPr>
        <w:t>城厢区集中式地表水饮用水水源地突发环境事件相关应急部门及单位联系方式</w:t>
      </w:r>
      <w:bookmarkEnd w:id="932"/>
    </w:p>
    <w:p>
      <w:pPr>
        <w:pStyle w:val="78"/>
        <w:spacing w:before="156" w:after="156" w:line="240" w:lineRule="auto"/>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表1城厢区相关应急部门及单位联系方式</w:t>
      </w:r>
    </w:p>
    <w:tbl>
      <w:tblPr>
        <w:tblStyle w:val="39"/>
        <w:tblW w:w="79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5"/>
        <w:gridCol w:w="4458"/>
        <w:gridCol w:w="2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序号</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部门/单位</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莆田市城厢区人民政府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（办）0594-2693753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城厢区应急管理局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（值）0594-2656133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城厢生态环境局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（值）0594-2680368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区委宣传部</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（值）0594-2693221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w:t>
            </w:r>
            <w:r>
              <w:rPr>
                <w:rFonts w:hint="eastAsia" w:eastAsiaTheme="majorEastAsia"/>
                <w:color w:val="000000" w:themeColor="text1"/>
                <w14:textFill>
                  <w14:solidFill>
                    <w14:schemeClr w14:val="tx1"/>
                  </w14:solidFill>
                </w14:textFill>
              </w:rPr>
              <w:t>气象局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（值）0594-2672595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w:t>
            </w:r>
            <w:r>
              <w:rPr>
                <w:rFonts w:hint="eastAsia" w:eastAsiaTheme="majorEastAsia"/>
                <w:color w:val="000000" w:themeColor="text1"/>
                <w14:textFill>
                  <w14:solidFill>
                    <w14:schemeClr w14:val="tx1"/>
                  </w14:solidFill>
                </w14:textFill>
              </w:rPr>
              <w:t>环卫处</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（值）0594-2692749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城厢区公安局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城厢区民政局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（值）0594-2691701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城厢区财政局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（值）0594-2678658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城厢区住建局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（值）0594-2693860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城厢区交通运输局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（值）0594-2690412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城厢区水利局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（值）0594-2686702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城厢区农业农村局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（值）0594-2686709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城厢区卫生健康局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（值）0594-26904942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城厢区自然资源局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（值）0594-2694970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城厢区电信公司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城厢区移动公司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城厢区联通公司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w:t>
            </w:r>
            <w:r>
              <w:rPr>
                <w:rFonts w:hint="eastAsia" w:eastAsiaTheme="majorEastAsia"/>
                <w:color w:val="000000" w:themeColor="text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城厢区消防大队</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（值）0594-2784559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城厢区医院</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（值）0594-2385789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常太镇人民政府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（值）0594-2800070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华亭镇人民政府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（值）0594-6738996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灵川镇人民政府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（值）0594-5397905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东海镇人民政府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（值）0594-5363555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东圳水库管理局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（值）0594-2788931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桂山水库管理所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hint="default" w:eastAsiaTheme="majorEastAsia"/>
                <w:color w:val="000000" w:themeColor="text1"/>
                <w:lang w:val="en-US" w:eastAsia="zh-CN"/>
                <w14:textFill>
                  <w14:solidFill>
                    <w14:schemeClr w14:val="tx1"/>
                  </w14:solidFill>
                </w14:textFill>
              </w:rPr>
            </w:pPr>
            <w:r>
              <w:rPr>
                <w:rFonts w:hint="eastAsia" w:eastAsiaTheme="majorEastAsia"/>
                <w:color w:val="000000" w:themeColor="text1"/>
                <w:lang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海头水库管理所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径里水库管理所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朝阳水库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院里水库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红旗水库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32</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华源自来水有限公司（朝阳水库）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33</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华源自来水有限公司（院里水库）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34</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湄洲湾自来水有限公司东海供水站（海头水库）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35</w:t>
            </w:r>
          </w:p>
        </w:tc>
        <w:tc>
          <w:tcPr>
            <w:tcW w:w="4458" w:type="dxa"/>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云峰自来水厂（红旗水库）</w:t>
            </w:r>
          </w:p>
        </w:tc>
        <w:tc>
          <w:tcPr>
            <w:tcW w:w="2594" w:type="dxa"/>
            <w:vAlign w:val="center"/>
          </w:tcPr>
          <w:p>
            <w:pPr>
              <w:widowControl/>
              <w:spacing w:line="280" w:lineRule="exact"/>
              <w:jc w:val="center"/>
              <w:rPr>
                <w:rFonts w:hint="default"/>
                <w:color w:val="000000" w:themeColor="text1"/>
                <w:lang w:val="en-US"/>
                <w14:textFill>
                  <w14:solidFill>
                    <w14:schemeClr w14:val="tx1"/>
                  </w14:solidFill>
                </w14:textFill>
              </w:rPr>
            </w:pPr>
          </w:p>
        </w:tc>
      </w:tr>
    </w:tbl>
    <w:p>
      <w:pPr>
        <w:pStyle w:val="78"/>
        <w:spacing w:before="156" w:after="156" w:line="240" w:lineRule="auto"/>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表2外部应急部门及单位联系方式及专家组联系方式</w:t>
      </w:r>
      <w:bookmarkStart w:id="934" w:name="_Toc7068_WPSOffice_Level1"/>
    </w:p>
    <w:p>
      <w:pPr>
        <w:pStyle w:val="78"/>
        <w:spacing w:before="156" w:after="156" w:line="240" w:lineRule="auto"/>
        <w:jc w:val="left"/>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（1）应急部门及单位组成</w:t>
      </w:r>
      <w:bookmarkEnd w:id="934"/>
    </w:p>
    <w:bookmarkEnd w:id="15"/>
    <w:bookmarkEnd w:id="55"/>
    <w:tbl>
      <w:tblPr>
        <w:tblStyle w:val="39"/>
        <w:tblW w:w="962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08"/>
        <w:gridCol w:w="2097"/>
        <w:gridCol w:w="2999"/>
        <w:gridCol w:w="21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211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环境部</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（值）010-12369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w:t>
            </w:r>
            <w:r>
              <w:rPr>
                <w:color w:val="000000" w:themeColor="text1"/>
                <w:sz w:val="21"/>
                <w:szCs w:val="21"/>
                <w14:textFill>
                  <w14:solidFill>
                    <w14:schemeClr w14:val="tx1"/>
                  </w14:solidFill>
                </w14:textFill>
              </w:rPr>
              <w:t>市人民政府</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（值）0594-2292721</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0594-2293512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环境厅</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莆田市生态环境局</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（办）0594-2688958</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福建省环境监察总队</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（值）0591-88367363</w:t>
            </w:r>
          </w:p>
        </w:tc>
        <w:tc>
          <w:tcPr>
            <w:tcW w:w="2999" w:type="dxa"/>
            <w:tcBorders>
              <w:tl2br w:val="nil"/>
              <w:tr2bl w:val="nil"/>
            </w:tcBorders>
            <w:vAlign w:val="center"/>
          </w:tcPr>
          <w:p>
            <w:pPr>
              <w:widowControl/>
              <w:spacing w:line="280" w:lineRule="exact"/>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莆田市</w:t>
            </w:r>
            <w:r>
              <w:rPr>
                <w:bCs/>
                <w:color w:val="000000" w:themeColor="text1"/>
                <w14:textFill>
                  <w14:solidFill>
                    <w14:schemeClr w14:val="tx1"/>
                  </w14:solidFill>
                </w14:textFill>
              </w:rPr>
              <w:t>应急</w:t>
            </w:r>
            <w:r>
              <w:rPr>
                <w:rFonts w:hint="eastAsia"/>
                <w:bCs/>
                <w:color w:val="000000" w:themeColor="text1"/>
                <w14:textFill>
                  <w14:solidFill>
                    <w14:schemeClr w14:val="tx1"/>
                  </w14:solidFill>
                </w14:textFill>
              </w:rPr>
              <w:t>与事故调查中心</w:t>
            </w:r>
          </w:p>
        </w:tc>
        <w:tc>
          <w:tcPr>
            <w:tcW w:w="2117" w:type="dxa"/>
            <w:tcBorders>
              <w:tl2br w:val="nil"/>
              <w:tr2bl w:val="nil"/>
            </w:tcBorders>
            <w:vAlign w:val="center"/>
          </w:tcPr>
          <w:p>
            <w:pPr>
              <w:widowControl/>
              <w:spacing w:line="280" w:lineRule="exact"/>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（值）</w:t>
            </w:r>
            <w:r>
              <w:rPr>
                <w:bCs/>
                <w:color w:val="000000" w:themeColor="text1"/>
                <w14:textFill>
                  <w14:solidFill>
                    <w14:schemeClr w14:val="tx1"/>
                  </w14:solidFill>
                </w14:textFill>
              </w:rPr>
              <w:t>0594-2395055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环境部环境应</w:t>
            </w:r>
          </w:p>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急与事故调查中心</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（值）010-12369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莆田市环境监测中心站</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w:t>
            </w:r>
            <w:r>
              <w:rPr>
                <w:rFonts w:hint="eastAsia"/>
                <w:color w:val="000000" w:themeColor="text1"/>
                <w:sz w:val="21"/>
                <w:szCs w:val="21"/>
                <w14:textFill>
                  <w14:solidFill>
                    <w14:schemeClr w14:val="tx1"/>
                  </w14:solidFill>
                </w14:textFill>
              </w:rPr>
              <w:t>0594-2696341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福建省环境应急与事故</w:t>
            </w:r>
          </w:p>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调查中心</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w:t>
            </w:r>
            <w:r>
              <w:rPr>
                <w:color w:val="000000" w:themeColor="text1"/>
                <w:sz w:val="21"/>
                <w:szCs w:val="21"/>
                <w14:textFill>
                  <w14:solidFill>
                    <w14:schemeClr w14:val="tx1"/>
                  </w14:solidFill>
                </w14:textFill>
              </w:rPr>
              <w:t>环境监察大队</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（办）0594-2615108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6"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福建省环境监测中心站</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（办）0591-87873262</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消防</w:t>
            </w:r>
            <w:r>
              <w:rPr>
                <w:rFonts w:hint="eastAsia"/>
                <w:color w:val="000000" w:themeColor="text1"/>
                <w14:textFill>
                  <w14:solidFill>
                    <w14:schemeClr w14:val="tx1"/>
                  </w14:solidFill>
                </w14:textFill>
              </w:rPr>
              <w:t>救援</w:t>
            </w:r>
            <w:r>
              <w:rPr>
                <w:color w:val="000000" w:themeColor="text1"/>
                <w14:textFill>
                  <w14:solidFill>
                    <w14:schemeClr w14:val="tx1"/>
                  </w14:solidFill>
                </w14:textFill>
              </w:rPr>
              <w:t>大队</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（值）0594-2785623</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0594-2658922</w:t>
            </w:r>
          </w:p>
          <w:p>
            <w:pPr>
              <w:rPr>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w:t>
            </w:r>
            <w:r>
              <w:rPr>
                <w:color w:val="000000" w:themeColor="text1"/>
                <w:sz w:val="21"/>
                <w:szCs w:val="21"/>
                <w14:textFill>
                  <w14:solidFill>
                    <w14:schemeClr w14:val="tx1"/>
                  </w14:solidFill>
                </w14:textFill>
              </w:rPr>
              <w:t>水利局</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w:t>
            </w:r>
            <w:r>
              <w:rPr>
                <w:rFonts w:hint="eastAsia"/>
                <w:color w:val="000000" w:themeColor="text1"/>
                <w:sz w:val="21"/>
                <w:szCs w:val="21"/>
                <w14:textFill>
                  <w14:solidFill>
                    <w14:schemeClr w14:val="tx1"/>
                  </w14:solidFill>
                </w14:textFill>
              </w:rPr>
              <w:t>0954-2380273</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疾控中心</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0954-2293339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7"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莆田市应急管理局</w:t>
            </w:r>
          </w:p>
        </w:tc>
        <w:tc>
          <w:tcPr>
            <w:tcW w:w="209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w:t>
            </w:r>
            <w:r>
              <w:rPr>
                <w:rFonts w:hint="eastAsia"/>
                <w:color w:val="000000" w:themeColor="text1"/>
                <w:sz w:val="21"/>
                <w:szCs w:val="21"/>
                <w14:textFill>
                  <w14:solidFill>
                    <w14:schemeClr w14:val="tx1"/>
                  </w14:solidFill>
                </w14:textFill>
              </w:rPr>
              <w:t>0954-2298938</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莆田市自来水有限公司</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0954-2696317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2"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莆田市卫生健康局</w:t>
            </w:r>
          </w:p>
        </w:tc>
        <w:tc>
          <w:tcPr>
            <w:tcW w:w="209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（办）059</w:t>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2285268</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莆田市供水供水公司</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0954-2680234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6"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民政局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0954-2292031</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公安交警大队</w:t>
            </w:r>
          </w:p>
        </w:tc>
        <w:tc>
          <w:tcPr>
            <w:tcW w:w="211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）0954-2653685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财政局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0954-2694413</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莆田学院附属医院</w:t>
            </w:r>
          </w:p>
        </w:tc>
        <w:tc>
          <w:tcPr>
            <w:tcW w:w="2117" w:type="dxa"/>
            <w:tcBorders>
              <w:tl2br w:val="nil"/>
              <w:tr2bl w:val="nil"/>
            </w:tcBorders>
            <w:vAlign w:val="center"/>
          </w:tcPr>
          <w:p>
            <w:pPr>
              <w:pStyle w:val="80"/>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）0594-2293910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1"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气象局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0954-2292072</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莆田市第一医院</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）0594-2292429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交通运输局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0954-2260600</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急救电话（公安）</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急救电话（医院）</w:t>
            </w:r>
          </w:p>
        </w:tc>
        <w:tc>
          <w:tcPr>
            <w:tcW w:w="209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120</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急救电话（消防）</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119</w:t>
            </w:r>
          </w:p>
        </w:tc>
      </w:tr>
    </w:tbl>
    <w:p>
      <w:pPr>
        <w:pStyle w:val="32"/>
        <w:spacing w:line="24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78"/>
        <w:spacing w:before="159" w:after="159" w:line="240" w:lineRule="auto"/>
        <w:jc w:val="left"/>
        <w:rPr>
          <w:rFonts w:ascii="黑体" w:hAnsi="黑体" w:cs="黑体"/>
          <w:color w:val="000000" w:themeColor="text1"/>
          <w:sz w:val="24"/>
          <w:szCs w:val="24"/>
          <w14:textFill>
            <w14:solidFill>
              <w14:schemeClr w14:val="tx1"/>
            </w14:solidFill>
          </w14:textFill>
        </w:rPr>
      </w:pPr>
      <w:bookmarkStart w:id="935" w:name="_Toc22462_WPSOffice_Level1"/>
      <w:r>
        <w:rPr>
          <w:rFonts w:hint="eastAsia" w:ascii="黑体" w:hAnsi="黑体" w:cs="黑体"/>
          <w:color w:val="000000" w:themeColor="text1"/>
          <w:sz w:val="24"/>
          <w:szCs w:val="24"/>
          <w14:textFill>
            <w14:solidFill>
              <w14:schemeClr w14:val="tx1"/>
            </w14:solidFill>
          </w14:textFill>
        </w:rPr>
        <w:t>（3）莆田市集中式饮用水水源保护区突发环境事件应急专家组名单</w:t>
      </w:r>
      <w:bookmarkEnd w:id="935"/>
    </w:p>
    <w:tbl>
      <w:tblPr>
        <w:tblStyle w:val="39"/>
        <w:tblW w:w="109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02"/>
        <w:gridCol w:w="834"/>
        <w:gridCol w:w="3537"/>
        <w:gridCol w:w="1874"/>
        <w:gridCol w:w="2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序号</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姓名</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姓别</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工作单位</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专业领域</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张章模</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总工、教授级高工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陈东风</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防汛办主任、高工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黄金鹏</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副总工、高工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肖金锁</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陈国宁</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颜文喜</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吴建洪</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许智强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蔡风飞</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林琼雄</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莆田市公安局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刑侦</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治安支队四大队副大队长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郑天和</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w:t>
            </w:r>
            <w:r>
              <w:rPr>
                <w:rFonts w:hint="eastAsia"/>
                <w:color w:val="000000" w:themeColor="text1"/>
                <w:kern w:val="0"/>
                <w:sz w:val="20"/>
                <w:szCs w:val="20"/>
                <w14:textFill>
                  <w14:solidFill>
                    <w14:schemeClr w14:val="tx1"/>
                  </w14:solidFill>
                </w14:textFill>
              </w:rPr>
              <w:t>农业农村局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农村环保能源</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站长、高级农艺师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黄丽娜</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莆田市气象局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天气预测预报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袁斌</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中海福建天然气有限责任公司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QHSE部经理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王春节</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中海石油空气化工产品（福建）有限公司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郑发国</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空气化工产品（莆田）有限公司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运输经理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16</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方国钦</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三棵树涂料股份有限公司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易燃易爆液体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安全总监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17</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何国强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福建中闽物流有限公司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常务副总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18</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陈金榕</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福建海投新能源有限公司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部门经理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19</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张建成</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百威英博雪津啤酒有限公司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有毒品</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ES经理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方奋强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莆田水务集团有限公司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有毒品</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副厂长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郑仰淦</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市安全生产协会</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朱荣沧</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市安全生产协会</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吴爱红</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女</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市应急管理局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博士生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许高荣</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市安全生产应急救援中心</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注册安全工程师、安全评价师</w:t>
            </w:r>
          </w:p>
        </w:tc>
      </w:tr>
    </w:tbl>
    <w:p>
      <w:pPr>
        <w:pStyle w:val="78"/>
        <w:spacing w:before="159" w:after="159" w:line="240" w:lineRule="auto"/>
        <w:jc w:val="left"/>
        <w:rPr>
          <w:rFonts w:ascii="黑体" w:hAnsi="黑体" w:cs="黑体"/>
          <w:color w:val="000000" w:themeColor="text1"/>
          <w:sz w:val="24"/>
          <w:szCs w:val="24"/>
          <w14:textFill>
            <w14:solidFill>
              <w14:schemeClr w14:val="tx1"/>
            </w14:solidFill>
          </w14:textFill>
        </w:rPr>
      </w:pPr>
      <w:bookmarkStart w:id="936" w:name="_Toc25495_WPSOffice_Level1"/>
      <w:r>
        <w:rPr>
          <w:rFonts w:hint="eastAsia" w:ascii="黑体" w:hAnsi="黑体" w:cs="黑体"/>
          <w:color w:val="000000" w:themeColor="text1"/>
          <w:sz w:val="24"/>
          <w:szCs w:val="24"/>
          <w14:textFill>
            <w14:solidFill>
              <w14:schemeClr w14:val="tx1"/>
            </w14:solidFill>
          </w14:textFill>
        </w:rPr>
        <w:t>续上表</w:t>
      </w:r>
      <w:bookmarkEnd w:id="936"/>
    </w:p>
    <w:tbl>
      <w:tblPr>
        <w:tblStyle w:val="39"/>
        <w:tblW w:w="114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86"/>
        <w:gridCol w:w="750"/>
        <w:gridCol w:w="2520"/>
        <w:gridCol w:w="2160"/>
        <w:gridCol w:w="2070"/>
        <w:gridCol w:w="2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ind w:left="-84" w:leftChars="-40" w:right="-111" w:rightChars="-53" w:firstLine="12" w:firstLineChars="6"/>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序号</w:t>
            </w:r>
          </w:p>
        </w:tc>
        <w:tc>
          <w:tcPr>
            <w:tcW w:w="986"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姓名</w:t>
            </w:r>
          </w:p>
        </w:tc>
        <w:tc>
          <w:tcPr>
            <w:tcW w:w="750" w:type="dxa"/>
            <w:vAlign w:val="center"/>
          </w:tcPr>
          <w:p>
            <w:pPr>
              <w:widowControl/>
              <w:spacing w:line="340" w:lineRule="exact"/>
              <w:ind w:left="-84" w:leftChars="-40" w:right="-94" w:rightChars="-45"/>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姓别</w:t>
            </w:r>
          </w:p>
        </w:tc>
        <w:tc>
          <w:tcPr>
            <w:tcW w:w="252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工作单位</w:t>
            </w:r>
          </w:p>
        </w:tc>
        <w:tc>
          <w:tcPr>
            <w:tcW w:w="216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毕业院校</w:t>
            </w:r>
          </w:p>
        </w:tc>
        <w:tc>
          <w:tcPr>
            <w:tcW w:w="207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专业领域</w:t>
            </w:r>
          </w:p>
        </w:tc>
        <w:tc>
          <w:tcPr>
            <w:tcW w:w="2265"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陈国英</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w:t>
            </w:r>
            <w:r>
              <w:rPr>
                <w:rFonts w:hint="eastAsia"/>
                <w:color w:val="000000" w:themeColor="text1"/>
                <w:kern w:val="0"/>
                <w:sz w:val="20"/>
                <w:szCs w:val="20"/>
                <w14:textFill>
                  <w14:solidFill>
                    <w14:schemeClr w14:val="tx1"/>
                  </w14:solidFill>
                </w14:textFill>
              </w:rPr>
              <w:t>市生态环境局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海军广州舰艇学院</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指挥专业</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林爱新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w:t>
            </w:r>
            <w:r>
              <w:rPr>
                <w:rFonts w:hint="eastAsia"/>
                <w:color w:val="000000" w:themeColor="text1"/>
                <w:kern w:val="0"/>
                <w:sz w:val="20"/>
                <w:szCs w:val="20"/>
                <w14:textFill>
                  <w14:solidFill>
                    <w14:schemeClr w14:val="tx1"/>
                  </w14:solidFill>
                </w14:textFill>
              </w:rPr>
              <w:t>市生态环境局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植物学、环保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陈必邻</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环保、动物学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4</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欧黎闽</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精细化工、环保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所长、高级工程师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5</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肖金树</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北京农业大学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农业环境保护</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6</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吕福春</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环保、生物化学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7</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刘海英</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大学分析化学、环保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8</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刘开国</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化学工程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9</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张志鹏</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福建农业大学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土壤与农业化学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10</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朱能文</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北京气象学院</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大气探测、气象</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11</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陈荔峰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电气自动化</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12</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史晓卫</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太原理工大学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精细化工</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13</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肖永兴</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福建师范大学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环境化学与监测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14</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龚美兰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长沙冶金工业学校</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分析化学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15</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化学、环境监测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股长、高级工程师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16</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刘赛男</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bl>
    <w:p>
      <w:pPr>
        <w:pStyle w:val="32"/>
        <w:rPr>
          <w:color w:val="000000" w:themeColor="text1"/>
          <w14:textFill>
            <w14:solidFill>
              <w14:schemeClr w14:val="tx1"/>
            </w14:solidFill>
          </w14:textFill>
        </w:rPr>
      </w:pPr>
    </w:p>
    <w:sectPr>
      <w:footerReference r:id="rId5" w:type="default"/>
      <w:pgSz w:w="16838" w:h="11906" w:orient="landscape"/>
      <w:pgMar w:top="1020" w:right="1134" w:bottom="1020" w:left="1134"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13F22"/>
    <w:multiLevelType w:val="multilevel"/>
    <w:tmpl w:val="3A713F22"/>
    <w:lvl w:ilvl="0" w:tentative="0">
      <w:start w:val="1"/>
      <w:numFmt w:val="decimal"/>
      <w:pStyle w:val="9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20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0E532D8"/>
    <w:rsid w:val="00007211"/>
    <w:rsid w:val="00031237"/>
    <w:rsid w:val="000314B1"/>
    <w:rsid w:val="00033B47"/>
    <w:rsid w:val="00035983"/>
    <w:rsid w:val="00041239"/>
    <w:rsid w:val="00042628"/>
    <w:rsid w:val="000525E4"/>
    <w:rsid w:val="00062839"/>
    <w:rsid w:val="000940C6"/>
    <w:rsid w:val="000C29DA"/>
    <w:rsid w:val="000F18F8"/>
    <w:rsid w:val="0010074F"/>
    <w:rsid w:val="00114D07"/>
    <w:rsid w:val="00132D62"/>
    <w:rsid w:val="00135940"/>
    <w:rsid w:val="0015420B"/>
    <w:rsid w:val="00157682"/>
    <w:rsid w:val="0016052D"/>
    <w:rsid w:val="001913F4"/>
    <w:rsid w:val="00193AD1"/>
    <w:rsid w:val="001A6984"/>
    <w:rsid w:val="001D1AC1"/>
    <w:rsid w:val="001E0A02"/>
    <w:rsid w:val="001E255C"/>
    <w:rsid w:val="002015F5"/>
    <w:rsid w:val="00210136"/>
    <w:rsid w:val="0023422D"/>
    <w:rsid w:val="00240ADE"/>
    <w:rsid w:val="00241377"/>
    <w:rsid w:val="00241463"/>
    <w:rsid w:val="002420A1"/>
    <w:rsid w:val="00250052"/>
    <w:rsid w:val="0025605E"/>
    <w:rsid w:val="00264590"/>
    <w:rsid w:val="0027309E"/>
    <w:rsid w:val="0027601B"/>
    <w:rsid w:val="00287AD7"/>
    <w:rsid w:val="002908F0"/>
    <w:rsid w:val="00296751"/>
    <w:rsid w:val="002974D4"/>
    <w:rsid w:val="002A2832"/>
    <w:rsid w:val="002A63B7"/>
    <w:rsid w:val="002C2892"/>
    <w:rsid w:val="002E279D"/>
    <w:rsid w:val="002F768D"/>
    <w:rsid w:val="003060B0"/>
    <w:rsid w:val="00311B6A"/>
    <w:rsid w:val="00323271"/>
    <w:rsid w:val="00332C30"/>
    <w:rsid w:val="00332D2A"/>
    <w:rsid w:val="0033566D"/>
    <w:rsid w:val="00360636"/>
    <w:rsid w:val="00365925"/>
    <w:rsid w:val="003817A2"/>
    <w:rsid w:val="00386652"/>
    <w:rsid w:val="003A0F82"/>
    <w:rsid w:val="003C2733"/>
    <w:rsid w:val="003C4722"/>
    <w:rsid w:val="003C6E0A"/>
    <w:rsid w:val="003D27F6"/>
    <w:rsid w:val="003E17B7"/>
    <w:rsid w:val="003E5C7A"/>
    <w:rsid w:val="003F5D94"/>
    <w:rsid w:val="00427369"/>
    <w:rsid w:val="00436FAE"/>
    <w:rsid w:val="0045096E"/>
    <w:rsid w:val="00456B00"/>
    <w:rsid w:val="00467307"/>
    <w:rsid w:val="00472521"/>
    <w:rsid w:val="00472606"/>
    <w:rsid w:val="0048656F"/>
    <w:rsid w:val="004A10D1"/>
    <w:rsid w:val="004A2A03"/>
    <w:rsid w:val="004B1992"/>
    <w:rsid w:val="004B4E3C"/>
    <w:rsid w:val="004F3003"/>
    <w:rsid w:val="00500B0F"/>
    <w:rsid w:val="00504E25"/>
    <w:rsid w:val="00512350"/>
    <w:rsid w:val="00522B89"/>
    <w:rsid w:val="00523F37"/>
    <w:rsid w:val="00532AE5"/>
    <w:rsid w:val="00545155"/>
    <w:rsid w:val="00564F49"/>
    <w:rsid w:val="005959A5"/>
    <w:rsid w:val="005B1F6B"/>
    <w:rsid w:val="005C06AD"/>
    <w:rsid w:val="005E672B"/>
    <w:rsid w:val="005F1C04"/>
    <w:rsid w:val="00640119"/>
    <w:rsid w:val="006436EF"/>
    <w:rsid w:val="0065065E"/>
    <w:rsid w:val="00652537"/>
    <w:rsid w:val="006533F6"/>
    <w:rsid w:val="00655975"/>
    <w:rsid w:val="006560D3"/>
    <w:rsid w:val="0066334D"/>
    <w:rsid w:val="006825E7"/>
    <w:rsid w:val="006A0E35"/>
    <w:rsid w:val="006C0D31"/>
    <w:rsid w:val="006D10B1"/>
    <w:rsid w:val="006E7312"/>
    <w:rsid w:val="006E79D3"/>
    <w:rsid w:val="006E7C04"/>
    <w:rsid w:val="007072AB"/>
    <w:rsid w:val="00714B66"/>
    <w:rsid w:val="00722559"/>
    <w:rsid w:val="00751B31"/>
    <w:rsid w:val="00752988"/>
    <w:rsid w:val="00771D4E"/>
    <w:rsid w:val="007754F6"/>
    <w:rsid w:val="0077736F"/>
    <w:rsid w:val="0079038B"/>
    <w:rsid w:val="007B3755"/>
    <w:rsid w:val="007B7BFE"/>
    <w:rsid w:val="007C3B06"/>
    <w:rsid w:val="007D0158"/>
    <w:rsid w:val="007D46E6"/>
    <w:rsid w:val="007F15F3"/>
    <w:rsid w:val="00802B5E"/>
    <w:rsid w:val="00823531"/>
    <w:rsid w:val="00825B58"/>
    <w:rsid w:val="008266A3"/>
    <w:rsid w:val="00831333"/>
    <w:rsid w:val="008359FB"/>
    <w:rsid w:val="00835D37"/>
    <w:rsid w:val="008456D0"/>
    <w:rsid w:val="00863D17"/>
    <w:rsid w:val="008922E9"/>
    <w:rsid w:val="00894E31"/>
    <w:rsid w:val="008A4C68"/>
    <w:rsid w:val="008C2A67"/>
    <w:rsid w:val="008D422D"/>
    <w:rsid w:val="008E1566"/>
    <w:rsid w:val="008F1064"/>
    <w:rsid w:val="0092111C"/>
    <w:rsid w:val="00935F09"/>
    <w:rsid w:val="00974016"/>
    <w:rsid w:val="00974A70"/>
    <w:rsid w:val="00975B2D"/>
    <w:rsid w:val="009930E9"/>
    <w:rsid w:val="009A2C59"/>
    <w:rsid w:val="009E7028"/>
    <w:rsid w:val="00A131C7"/>
    <w:rsid w:val="00A35605"/>
    <w:rsid w:val="00A46275"/>
    <w:rsid w:val="00A700DE"/>
    <w:rsid w:val="00A95546"/>
    <w:rsid w:val="00A970F5"/>
    <w:rsid w:val="00A97ECD"/>
    <w:rsid w:val="00AA5A79"/>
    <w:rsid w:val="00AB0338"/>
    <w:rsid w:val="00AC69D5"/>
    <w:rsid w:val="00AE38B0"/>
    <w:rsid w:val="00AE5A9A"/>
    <w:rsid w:val="00AF0581"/>
    <w:rsid w:val="00B06960"/>
    <w:rsid w:val="00B11F93"/>
    <w:rsid w:val="00B24014"/>
    <w:rsid w:val="00B42C71"/>
    <w:rsid w:val="00B459C1"/>
    <w:rsid w:val="00B6007C"/>
    <w:rsid w:val="00B6279D"/>
    <w:rsid w:val="00B80FE3"/>
    <w:rsid w:val="00B82973"/>
    <w:rsid w:val="00BB3366"/>
    <w:rsid w:val="00BF05B4"/>
    <w:rsid w:val="00BF6C22"/>
    <w:rsid w:val="00C22124"/>
    <w:rsid w:val="00C2657F"/>
    <w:rsid w:val="00C50D40"/>
    <w:rsid w:val="00C53896"/>
    <w:rsid w:val="00C97565"/>
    <w:rsid w:val="00CB49E6"/>
    <w:rsid w:val="00CB5A88"/>
    <w:rsid w:val="00CC7062"/>
    <w:rsid w:val="00CD1B91"/>
    <w:rsid w:val="00CF362E"/>
    <w:rsid w:val="00CF5893"/>
    <w:rsid w:val="00D10D49"/>
    <w:rsid w:val="00D200D1"/>
    <w:rsid w:val="00D273C7"/>
    <w:rsid w:val="00D41BF4"/>
    <w:rsid w:val="00D60185"/>
    <w:rsid w:val="00D65DCE"/>
    <w:rsid w:val="00D67A22"/>
    <w:rsid w:val="00D7478B"/>
    <w:rsid w:val="00D85C94"/>
    <w:rsid w:val="00DA1F77"/>
    <w:rsid w:val="00DC3886"/>
    <w:rsid w:val="00DC615A"/>
    <w:rsid w:val="00DC6493"/>
    <w:rsid w:val="00DE496B"/>
    <w:rsid w:val="00E06D88"/>
    <w:rsid w:val="00E1525A"/>
    <w:rsid w:val="00E23D53"/>
    <w:rsid w:val="00E42A79"/>
    <w:rsid w:val="00E532D8"/>
    <w:rsid w:val="00E6435E"/>
    <w:rsid w:val="00E65EB9"/>
    <w:rsid w:val="00E73777"/>
    <w:rsid w:val="00E86E32"/>
    <w:rsid w:val="00E951F8"/>
    <w:rsid w:val="00EB1971"/>
    <w:rsid w:val="00EB1D6B"/>
    <w:rsid w:val="00EC1E2C"/>
    <w:rsid w:val="00ED3F98"/>
    <w:rsid w:val="00EF26AF"/>
    <w:rsid w:val="00F10779"/>
    <w:rsid w:val="00F109A8"/>
    <w:rsid w:val="00F26141"/>
    <w:rsid w:val="00F36EF0"/>
    <w:rsid w:val="00F377CD"/>
    <w:rsid w:val="00F7622B"/>
    <w:rsid w:val="00F937F9"/>
    <w:rsid w:val="00FA221C"/>
    <w:rsid w:val="00FA326F"/>
    <w:rsid w:val="00FA6AC3"/>
    <w:rsid w:val="00FB4074"/>
    <w:rsid w:val="00FB70E0"/>
    <w:rsid w:val="00FC5442"/>
    <w:rsid w:val="00FD604C"/>
    <w:rsid w:val="00FE13A1"/>
    <w:rsid w:val="00FF4881"/>
    <w:rsid w:val="010356D3"/>
    <w:rsid w:val="010E7F14"/>
    <w:rsid w:val="01446701"/>
    <w:rsid w:val="01527AF2"/>
    <w:rsid w:val="01856B6F"/>
    <w:rsid w:val="01BA5FDF"/>
    <w:rsid w:val="01C97EE3"/>
    <w:rsid w:val="01FD0830"/>
    <w:rsid w:val="020B19E3"/>
    <w:rsid w:val="020B2268"/>
    <w:rsid w:val="02966994"/>
    <w:rsid w:val="031E2F4D"/>
    <w:rsid w:val="0396013C"/>
    <w:rsid w:val="03C50C16"/>
    <w:rsid w:val="03CE4BFE"/>
    <w:rsid w:val="041B3B60"/>
    <w:rsid w:val="0420050F"/>
    <w:rsid w:val="04286254"/>
    <w:rsid w:val="04B83BC8"/>
    <w:rsid w:val="04CE7737"/>
    <w:rsid w:val="04E00773"/>
    <w:rsid w:val="050E1446"/>
    <w:rsid w:val="057E18CE"/>
    <w:rsid w:val="05C77428"/>
    <w:rsid w:val="05CC4034"/>
    <w:rsid w:val="05D14D68"/>
    <w:rsid w:val="06304528"/>
    <w:rsid w:val="065A495F"/>
    <w:rsid w:val="065E44AC"/>
    <w:rsid w:val="067F7517"/>
    <w:rsid w:val="070C7597"/>
    <w:rsid w:val="074110A0"/>
    <w:rsid w:val="075624B4"/>
    <w:rsid w:val="078B2EBE"/>
    <w:rsid w:val="07FA723C"/>
    <w:rsid w:val="087D6A33"/>
    <w:rsid w:val="08835B0F"/>
    <w:rsid w:val="08A40C02"/>
    <w:rsid w:val="09242E5D"/>
    <w:rsid w:val="092E1277"/>
    <w:rsid w:val="09375A6F"/>
    <w:rsid w:val="094E766C"/>
    <w:rsid w:val="0A073082"/>
    <w:rsid w:val="0A145D39"/>
    <w:rsid w:val="0A392B9C"/>
    <w:rsid w:val="0A7A1AB6"/>
    <w:rsid w:val="0AA90F96"/>
    <w:rsid w:val="0ABF1812"/>
    <w:rsid w:val="0AC563DD"/>
    <w:rsid w:val="0ADB68EB"/>
    <w:rsid w:val="0B4A38CE"/>
    <w:rsid w:val="0B512A33"/>
    <w:rsid w:val="0B682827"/>
    <w:rsid w:val="0BA2384D"/>
    <w:rsid w:val="0C6F5A2C"/>
    <w:rsid w:val="0CB47E68"/>
    <w:rsid w:val="0CD741A4"/>
    <w:rsid w:val="0CF373D9"/>
    <w:rsid w:val="0D604A71"/>
    <w:rsid w:val="0D737AFB"/>
    <w:rsid w:val="0DA3405B"/>
    <w:rsid w:val="0DAD55FD"/>
    <w:rsid w:val="0E0E4C9D"/>
    <w:rsid w:val="0EE54057"/>
    <w:rsid w:val="0F092EA6"/>
    <w:rsid w:val="0F194967"/>
    <w:rsid w:val="0FE4221A"/>
    <w:rsid w:val="102352DE"/>
    <w:rsid w:val="103D3C21"/>
    <w:rsid w:val="10432FF2"/>
    <w:rsid w:val="10C40BD2"/>
    <w:rsid w:val="1120500B"/>
    <w:rsid w:val="11490964"/>
    <w:rsid w:val="11847974"/>
    <w:rsid w:val="11B964A4"/>
    <w:rsid w:val="11FB3D60"/>
    <w:rsid w:val="12154554"/>
    <w:rsid w:val="12414760"/>
    <w:rsid w:val="128D556C"/>
    <w:rsid w:val="13035741"/>
    <w:rsid w:val="1338739C"/>
    <w:rsid w:val="136626E2"/>
    <w:rsid w:val="138B3E8E"/>
    <w:rsid w:val="13CC6400"/>
    <w:rsid w:val="142674C8"/>
    <w:rsid w:val="14423C35"/>
    <w:rsid w:val="14437E91"/>
    <w:rsid w:val="14894E16"/>
    <w:rsid w:val="15167B7A"/>
    <w:rsid w:val="1533208A"/>
    <w:rsid w:val="156E0438"/>
    <w:rsid w:val="16095DE8"/>
    <w:rsid w:val="1618230F"/>
    <w:rsid w:val="16965CAF"/>
    <w:rsid w:val="16A8190A"/>
    <w:rsid w:val="16DC7A7F"/>
    <w:rsid w:val="172E2DD6"/>
    <w:rsid w:val="17A86A33"/>
    <w:rsid w:val="17E43758"/>
    <w:rsid w:val="183C123E"/>
    <w:rsid w:val="188D2F78"/>
    <w:rsid w:val="18A63101"/>
    <w:rsid w:val="18B83D5D"/>
    <w:rsid w:val="18C06C1F"/>
    <w:rsid w:val="18C938E0"/>
    <w:rsid w:val="19312823"/>
    <w:rsid w:val="19521363"/>
    <w:rsid w:val="198D0BD8"/>
    <w:rsid w:val="199A516C"/>
    <w:rsid w:val="1A5F597E"/>
    <w:rsid w:val="1AB05473"/>
    <w:rsid w:val="1BAE4E7F"/>
    <w:rsid w:val="1C232502"/>
    <w:rsid w:val="1C2917CA"/>
    <w:rsid w:val="1C2F7704"/>
    <w:rsid w:val="1CA65608"/>
    <w:rsid w:val="1CD918FF"/>
    <w:rsid w:val="1CDA7809"/>
    <w:rsid w:val="1CF21949"/>
    <w:rsid w:val="1D024FA2"/>
    <w:rsid w:val="1D650373"/>
    <w:rsid w:val="1E422328"/>
    <w:rsid w:val="1E685BCF"/>
    <w:rsid w:val="1E6E5502"/>
    <w:rsid w:val="1ED0622A"/>
    <w:rsid w:val="1F1A1640"/>
    <w:rsid w:val="1F265508"/>
    <w:rsid w:val="1F4E0B0D"/>
    <w:rsid w:val="1F590948"/>
    <w:rsid w:val="1F6B4551"/>
    <w:rsid w:val="1FA6049E"/>
    <w:rsid w:val="1FCB756D"/>
    <w:rsid w:val="1FF02292"/>
    <w:rsid w:val="20231CF5"/>
    <w:rsid w:val="206E5FD3"/>
    <w:rsid w:val="209C74EA"/>
    <w:rsid w:val="22BD2BDA"/>
    <w:rsid w:val="22D923F4"/>
    <w:rsid w:val="243532A5"/>
    <w:rsid w:val="24372F37"/>
    <w:rsid w:val="245C1686"/>
    <w:rsid w:val="24B913CE"/>
    <w:rsid w:val="251A4132"/>
    <w:rsid w:val="25AD76BA"/>
    <w:rsid w:val="25E126E9"/>
    <w:rsid w:val="26B809BF"/>
    <w:rsid w:val="26E0663F"/>
    <w:rsid w:val="2700274F"/>
    <w:rsid w:val="272547B2"/>
    <w:rsid w:val="27C875DD"/>
    <w:rsid w:val="27DB0304"/>
    <w:rsid w:val="27EA5963"/>
    <w:rsid w:val="28812EC3"/>
    <w:rsid w:val="295635F0"/>
    <w:rsid w:val="29A74D33"/>
    <w:rsid w:val="29D553A8"/>
    <w:rsid w:val="2AA01780"/>
    <w:rsid w:val="2AE10A69"/>
    <w:rsid w:val="2AF47AFF"/>
    <w:rsid w:val="2B157969"/>
    <w:rsid w:val="2B1F459C"/>
    <w:rsid w:val="2C204B8C"/>
    <w:rsid w:val="2C28718D"/>
    <w:rsid w:val="2C3C1B0D"/>
    <w:rsid w:val="2CB50AF1"/>
    <w:rsid w:val="2D3A25D1"/>
    <w:rsid w:val="2E0765FD"/>
    <w:rsid w:val="2E185223"/>
    <w:rsid w:val="2E53497B"/>
    <w:rsid w:val="2E6957C1"/>
    <w:rsid w:val="2ED24C7B"/>
    <w:rsid w:val="2EF80010"/>
    <w:rsid w:val="2F4B52CB"/>
    <w:rsid w:val="2F5129F0"/>
    <w:rsid w:val="2F7560F9"/>
    <w:rsid w:val="2FBA204D"/>
    <w:rsid w:val="2FEE2B81"/>
    <w:rsid w:val="30437074"/>
    <w:rsid w:val="30B33995"/>
    <w:rsid w:val="30FC42AA"/>
    <w:rsid w:val="30FF65AA"/>
    <w:rsid w:val="310E7467"/>
    <w:rsid w:val="314C2834"/>
    <w:rsid w:val="3188102C"/>
    <w:rsid w:val="32134F1B"/>
    <w:rsid w:val="32211D4E"/>
    <w:rsid w:val="323C7608"/>
    <w:rsid w:val="3247748A"/>
    <w:rsid w:val="32707C45"/>
    <w:rsid w:val="32A76791"/>
    <w:rsid w:val="32F96A59"/>
    <w:rsid w:val="32FF7C56"/>
    <w:rsid w:val="330D0D12"/>
    <w:rsid w:val="33270FF2"/>
    <w:rsid w:val="33A6770C"/>
    <w:rsid w:val="33B43E16"/>
    <w:rsid w:val="34504DE2"/>
    <w:rsid w:val="34D427C4"/>
    <w:rsid w:val="34F74E73"/>
    <w:rsid w:val="3543348F"/>
    <w:rsid w:val="36AA6885"/>
    <w:rsid w:val="36E0660A"/>
    <w:rsid w:val="37295609"/>
    <w:rsid w:val="37B679B2"/>
    <w:rsid w:val="37EA6311"/>
    <w:rsid w:val="389E7AA5"/>
    <w:rsid w:val="3948795B"/>
    <w:rsid w:val="39572F86"/>
    <w:rsid w:val="39CD6690"/>
    <w:rsid w:val="39D817A3"/>
    <w:rsid w:val="3A014F61"/>
    <w:rsid w:val="3A137B1E"/>
    <w:rsid w:val="3A1D4815"/>
    <w:rsid w:val="3A6740AF"/>
    <w:rsid w:val="3AA930A6"/>
    <w:rsid w:val="3B1B78D3"/>
    <w:rsid w:val="3B505256"/>
    <w:rsid w:val="3BA95950"/>
    <w:rsid w:val="3C7B79E4"/>
    <w:rsid w:val="3D416DDB"/>
    <w:rsid w:val="3D5726C5"/>
    <w:rsid w:val="3D587EE0"/>
    <w:rsid w:val="3D6D69FF"/>
    <w:rsid w:val="3D790729"/>
    <w:rsid w:val="3D7D0756"/>
    <w:rsid w:val="3D9B4D38"/>
    <w:rsid w:val="3DD708FF"/>
    <w:rsid w:val="3DF550FC"/>
    <w:rsid w:val="3E4435C2"/>
    <w:rsid w:val="3E5C4A91"/>
    <w:rsid w:val="3EB126FC"/>
    <w:rsid w:val="3EDD13B3"/>
    <w:rsid w:val="3FB83B46"/>
    <w:rsid w:val="402F7BEB"/>
    <w:rsid w:val="404873A1"/>
    <w:rsid w:val="408A271E"/>
    <w:rsid w:val="40FC7831"/>
    <w:rsid w:val="414054D6"/>
    <w:rsid w:val="41C84BFF"/>
    <w:rsid w:val="42A050F9"/>
    <w:rsid w:val="431D684C"/>
    <w:rsid w:val="433B6F86"/>
    <w:rsid w:val="44012052"/>
    <w:rsid w:val="44544A70"/>
    <w:rsid w:val="446076C3"/>
    <w:rsid w:val="44B60810"/>
    <w:rsid w:val="44FB7FC6"/>
    <w:rsid w:val="451254E5"/>
    <w:rsid w:val="453625B1"/>
    <w:rsid w:val="462755EE"/>
    <w:rsid w:val="4666773D"/>
    <w:rsid w:val="468C3FA7"/>
    <w:rsid w:val="47156511"/>
    <w:rsid w:val="47397AD0"/>
    <w:rsid w:val="47547DD3"/>
    <w:rsid w:val="479E5DA9"/>
    <w:rsid w:val="47B548F2"/>
    <w:rsid w:val="47CA6E6E"/>
    <w:rsid w:val="484559AB"/>
    <w:rsid w:val="484B1508"/>
    <w:rsid w:val="48BA2DE4"/>
    <w:rsid w:val="498F5088"/>
    <w:rsid w:val="4A714FE0"/>
    <w:rsid w:val="4A84786A"/>
    <w:rsid w:val="4AFE1AB9"/>
    <w:rsid w:val="4B487D7B"/>
    <w:rsid w:val="4BBB0281"/>
    <w:rsid w:val="4C316C2C"/>
    <w:rsid w:val="4C933AC3"/>
    <w:rsid w:val="4CB64BB1"/>
    <w:rsid w:val="4DFE1FE1"/>
    <w:rsid w:val="4E434753"/>
    <w:rsid w:val="4E786586"/>
    <w:rsid w:val="4E9838B5"/>
    <w:rsid w:val="4EC166E2"/>
    <w:rsid w:val="4F202402"/>
    <w:rsid w:val="4F4D205C"/>
    <w:rsid w:val="4F627325"/>
    <w:rsid w:val="4F9802FB"/>
    <w:rsid w:val="4FB45CD4"/>
    <w:rsid w:val="4FC05AD0"/>
    <w:rsid w:val="4FC30485"/>
    <w:rsid w:val="50153C8D"/>
    <w:rsid w:val="508F7FE2"/>
    <w:rsid w:val="50C0182B"/>
    <w:rsid w:val="520328FE"/>
    <w:rsid w:val="52336174"/>
    <w:rsid w:val="52413306"/>
    <w:rsid w:val="52D71D7F"/>
    <w:rsid w:val="52E86507"/>
    <w:rsid w:val="5348455B"/>
    <w:rsid w:val="53700A01"/>
    <w:rsid w:val="53CB2156"/>
    <w:rsid w:val="53E05D47"/>
    <w:rsid w:val="53E90852"/>
    <w:rsid w:val="543F4D73"/>
    <w:rsid w:val="54565FFA"/>
    <w:rsid w:val="54B07DE9"/>
    <w:rsid w:val="54FE3E2B"/>
    <w:rsid w:val="55060AF7"/>
    <w:rsid w:val="55071002"/>
    <w:rsid w:val="553B4059"/>
    <w:rsid w:val="556E142D"/>
    <w:rsid w:val="55810052"/>
    <w:rsid w:val="561042C2"/>
    <w:rsid w:val="561940D3"/>
    <w:rsid w:val="56764F1B"/>
    <w:rsid w:val="56DB6A9A"/>
    <w:rsid w:val="571213DD"/>
    <w:rsid w:val="574C2974"/>
    <w:rsid w:val="57694EBC"/>
    <w:rsid w:val="57E87E05"/>
    <w:rsid w:val="587958E2"/>
    <w:rsid w:val="5894587B"/>
    <w:rsid w:val="591E3685"/>
    <w:rsid w:val="592D43E2"/>
    <w:rsid w:val="59C069AB"/>
    <w:rsid w:val="5A023F5B"/>
    <w:rsid w:val="5A824471"/>
    <w:rsid w:val="5A84638B"/>
    <w:rsid w:val="5A9854F0"/>
    <w:rsid w:val="5AAF5F86"/>
    <w:rsid w:val="5ABB779F"/>
    <w:rsid w:val="5B921830"/>
    <w:rsid w:val="5BAB3F7B"/>
    <w:rsid w:val="5BB71EE1"/>
    <w:rsid w:val="5BD74912"/>
    <w:rsid w:val="5C1A1908"/>
    <w:rsid w:val="5C257BBA"/>
    <w:rsid w:val="5C486D1D"/>
    <w:rsid w:val="5CD37126"/>
    <w:rsid w:val="5CF72BCB"/>
    <w:rsid w:val="5D95450D"/>
    <w:rsid w:val="5D9A620A"/>
    <w:rsid w:val="5E22595E"/>
    <w:rsid w:val="5E2B3540"/>
    <w:rsid w:val="5E3157C3"/>
    <w:rsid w:val="5EB66CD6"/>
    <w:rsid w:val="5EC56014"/>
    <w:rsid w:val="5EE7552B"/>
    <w:rsid w:val="5F157018"/>
    <w:rsid w:val="5F1963C3"/>
    <w:rsid w:val="5F1E05CB"/>
    <w:rsid w:val="5F575C74"/>
    <w:rsid w:val="5FFF6783"/>
    <w:rsid w:val="600B1C51"/>
    <w:rsid w:val="6021059B"/>
    <w:rsid w:val="6034095E"/>
    <w:rsid w:val="604E503F"/>
    <w:rsid w:val="61A027D8"/>
    <w:rsid w:val="622F60C9"/>
    <w:rsid w:val="6254257F"/>
    <w:rsid w:val="626B5F81"/>
    <w:rsid w:val="62735270"/>
    <w:rsid w:val="628361A4"/>
    <w:rsid w:val="62D42408"/>
    <w:rsid w:val="630C1A3C"/>
    <w:rsid w:val="63387EFF"/>
    <w:rsid w:val="633D0156"/>
    <w:rsid w:val="635D38B7"/>
    <w:rsid w:val="6386160F"/>
    <w:rsid w:val="639B3B17"/>
    <w:rsid w:val="643D57D6"/>
    <w:rsid w:val="64626F17"/>
    <w:rsid w:val="649A3E3D"/>
    <w:rsid w:val="64B71196"/>
    <w:rsid w:val="64D90390"/>
    <w:rsid w:val="64F275E8"/>
    <w:rsid w:val="65034180"/>
    <w:rsid w:val="650A7D8F"/>
    <w:rsid w:val="65243980"/>
    <w:rsid w:val="656C4363"/>
    <w:rsid w:val="65B30007"/>
    <w:rsid w:val="65C86C0B"/>
    <w:rsid w:val="65F24153"/>
    <w:rsid w:val="665154CC"/>
    <w:rsid w:val="66997A75"/>
    <w:rsid w:val="685359C8"/>
    <w:rsid w:val="68EB2F48"/>
    <w:rsid w:val="691B4FFD"/>
    <w:rsid w:val="694F5FB8"/>
    <w:rsid w:val="699134BB"/>
    <w:rsid w:val="69DD2BAF"/>
    <w:rsid w:val="6AAF55E4"/>
    <w:rsid w:val="6AE42577"/>
    <w:rsid w:val="6AEE7B8B"/>
    <w:rsid w:val="6B010C8E"/>
    <w:rsid w:val="6B0727C7"/>
    <w:rsid w:val="6B0C5313"/>
    <w:rsid w:val="6B4E29DA"/>
    <w:rsid w:val="6BDA69E6"/>
    <w:rsid w:val="6C3224F4"/>
    <w:rsid w:val="6D2A1577"/>
    <w:rsid w:val="6D63762E"/>
    <w:rsid w:val="6D7652D1"/>
    <w:rsid w:val="6DB86F85"/>
    <w:rsid w:val="6DE27207"/>
    <w:rsid w:val="6E1C2BFE"/>
    <w:rsid w:val="6E331C39"/>
    <w:rsid w:val="6E3F6D7A"/>
    <w:rsid w:val="6EEF38F3"/>
    <w:rsid w:val="6F4B4978"/>
    <w:rsid w:val="702F2952"/>
    <w:rsid w:val="71DF48BE"/>
    <w:rsid w:val="72207955"/>
    <w:rsid w:val="72512A84"/>
    <w:rsid w:val="72656FFF"/>
    <w:rsid w:val="72887912"/>
    <w:rsid w:val="729A324A"/>
    <w:rsid w:val="72E63532"/>
    <w:rsid w:val="72E74F79"/>
    <w:rsid w:val="734C56DE"/>
    <w:rsid w:val="73CD66EA"/>
    <w:rsid w:val="73DB5FDF"/>
    <w:rsid w:val="742D7D24"/>
    <w:rsid w:val="74E71A43"/>
    <w:rsid w:val="7504596C"/>
    <w:rsid w:val="752A248E"/>
    <w:rsid w:val="75367E0D"/>
    <w:rsid w:val="75567A58"/>
    <w:rsid w:val="758B45B0"/>
    <w:rsid w:val="75A44181"/>
    <w:rsid w:val="75F6100E"/>
    <w:rsid w:val="76021639"/>
    <w:rsid w:val="76A279ED"/>
    <w:rsid w:val="76A30752"/>
    <w:rsid w:val="76B63926"/>
    <w:rsid w:val="76CE5AB1"/>
    <w:rsid w:val="76DA4D60"/>
    <w:rsid w:val="76FE4235"/>
    <w:rsid w:val="777F0AD1"/>
    <w:rsid w:val="77860DE9"/>
    <w:rsid w:val="77AE234D"/>
    <w:rsid w:val="780B1CCA"/>
    <w:rsid w:val="789A7C29"/>
    <w:rsid w:val="78EB4739"/>
    <w:rsid w:val="791516EA"/>
    <w:rsid w:val="7976020A"/>
    <w:rsid w:val="79A80D9E"/>
    <w:rsid w:val="7A9B5629"/>
    <w:rsid w:val="7A9C21B3"/>
    <w:rsid w:val="7AB22C28"/>
    <w:rsid w:val="7B1E3F4A"/>
    <w:rsid w:val="7B89044B"/>
    <w:rsid w:val="7BC33F05"/>
    <w:rsid w:val="7BE5375E"/>
    <w:rsid w:val="7C586003"/>
    <w:rsid w:val="7C8D3D65"/>
    <w:rsid w:val="7CB01BFB"/>
    <w:rsid w:val="7CCE6AF3"/>
    <w:rsid w:val="7CED0037"/>
    <w:rsid w:val="7CF40B47"/>
    <w:rsid w:val="7D312FF0"/>
    <w:rsid w:val="7D3D633F"/>
    <w:rsid w:val="7DA94374"/>
    <w:rsid w:val="7DE2313E"/>
    <w:rsid w:val="7DF81140"/>
    <w:rsid w:val="7E08226D"/>
    <w:rsid w:val="7E1D3B4C"/>
    <w:rsid w:val="7E5118CE"/>
    <w:rsid w:val="7E5E2D7B"/>
    <w:rsid w:val="7E9157A0"/>
    <w:rsid w:val="7EE85263"/>
    <w:rsid w:val="7F666817"/>
    <w:rsid w:val="7FB25D1C"/>
    <w:rsid w:val="7FC236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9"/>
    <w:qFormat/>
    <w:uiPriority w:val="99"/>
    <w:pPr>
      <w:keepNext/>
      <w:keepLines/>
      <w:spacing w:before="340" w:after="330" w:line="480" w:lineRule="auto"/>
      <w:outlineLvl w:val="0"/>
    </w:pPr>
    <w:rPr>
      <w:rFonts w:eastAsia="黑体"/>
      <w:kern w:val="44"/>
    </w:rPr>
  </w:style>
  <w:style w:type="paragraph" w:styleId="4">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51"/>
    <w:qFormat/>
    <w:uiPriority w:val="99"/>
    <w:pPr>
      <w:keepNext/>
      <w:keepLines/>
      <w:spacing w:before="260" w:after="260" w:line="416" w:lineRule="auto"/>
      <w:outlineLvl w:val="2"/>
    </w:pPr>
    <w:rPr>
      <w:b/>
      <w:bCs/>
      <w:sz w:val="32"/>
      <w:szCs w:val="32"/>
    </w:rPr>
  </w:style>
  <w:style w:type="paragraph" w:styleId="6">
    <w:name w:val="heading 4"/>
    <w:basedOn w:val="1"/>
    <w:next w:val="1"/>
    <w:link w:val="52"/>
    <w:qFormat/>
    <w:uiPriority w:val="99"/>
    <w:pPr>
      <w:widowControl/>
      <w:spacing w:before="200" w:line="276" w:lineRule="auto"/>
      <w:jc w:val="left"/>
      <w:outlineLvl w:val="3"/>
    </w:pPr>
    <w:rPr>
      <w:rFonts w:ascii="Cambria" w:hAnsi="Cambria" w:cs="Cambria"/>
      <w:b/>
      <w:bCs/>
      <w:i/>
      <w:iCs/>
      <w:kern w:val="0"/>
      <w:sz w:val="22"/>
      <w:szCs w:val="22"/>
    </w:rPr>
  </w:style>
  <w:style w:type="paragraph" w:styleId="7">
    <w:name w:val="heading 5"/>
    <w:basedOn w:val="1"/>
    <w:next w:val="1"/>
    <w:link w:val="53"/>
    <w:qFormat/>
    <w:uiPriority w:val="99"/>
    <w:pPr>
      <w:widowControl/>
      <w:spacing w:before="200" w:line="276" w:lineRule="auto"/>
      <w:jc w:val="left"/>
      <w:outlineLvl w:val="4"/>
    </w:pPr>
    <w:rPr>
      <w:rFonts w:ascii="Cambria" w:hAnsi="Cambria" w:cs="Cambria"/>
      <w:b/>
      <w:bCs/>
      <w:color w:val="7F7F7F"/>
      <w:kern w:val="0"/>
      <w:sz w:val="22"/>
      <w:szCs w:val="22"/>
    </w:rPr>
  </w:style>
  <w:style w:type="paragraph" w:styleId="8">
    <w:name w:val="heading 6"/>
    <w:basedOn w:val="1"/>
    <w:next w:val="1"/>
    <w:link w:val="54"/>
    <w:qFormat/>
    <w:uiPriority w:val="99"/>
    <w:pPr>
      <w:widowControl/>
      <w:spacing w:line="271" w:lineRule="auto"/>
      <w:jc w:val="left"/>
      <w:outlineLvl w:val="5"/>
    </w:pPr>
    <w:rPr>
      <w:rFonts w:ascii="Cambria" w:hAnsi="Cambria" w:cs="Cambria"/>
      <w:b/>
      <w:bCs/>
      <w:i/>
      <w:iCs/>
      <w:color w:val="7F7F7F"/>
      <w:kern w:val="0"/>
      <w:sz w:val="22"/>
      <w:szCs w:val="22"/>
    </w:rPr>
  </w:style>
  <w:style w:type="paragraph" w:styleId="9">
    <w:name w:val="heading 7"/>
    <w:basedOn w:val="1"/>
    <w:next w:val="1"/>
    <w:link w:val="55"/>
    <w:qFormat/>
    <w:uiPriority w:val="99"/>
    <w:pPr>
      <w:widowControl/>
      <w:spacing w:line="276" w:lineRule="auto"/>
      <w:jc w:val="left"/>
      <w:outlineLvl w:val="6"/>
    </w:pPr>
    <w:rPr>
      <w:rFonts w:ascii="Cambria" w:hAnsi="Cambria" w:cs="Cambria"/>
      <w:i/>
      <w:iCs/>
      <w:kern w:val="0"/>
      <w:sz w:val="22"/>
      <w:szCs w:val="22"/>
    </w:rPr>
  </w:style>
  <w:style w:type="paragraph" w:styleId="10">
    <w:name w:val="heading 8"/>
    <w:basedOn w:val="1"/>
    <w:next w:val="1"/>
    <w:link w:val="56"/>
    <w:qFormat/>
    <w:uiPriority w:val="99"/>
    <w:pPr>
      <w:widowControl/>
      <w:spacing w:line="276" w:lineRule="auto"/>
      <w:jc w:val="left"/>
      <w:outlineLvl w:val="7"/>
    </w:pPr>
    <w:rPr>
      <w:rFonts w:ascii="Cambria" w:hAnsi="Cambria" w:cs="Cambria"/>
      <w:kern w:val="0"/>
      <w:sz w:val="20"/>
      <w:szCs w:val="20"/>
    </w:rPr>
  </w:style>
  <w:style w:type="paragraph" w:styleId="11">
    <w:name w:val="heading 9"/>
    <w:basedOn w:val="1"/>
    <w:next w:val="1"/>
    <w:link w:val="57"/>
    <w:qFormat/>
    <w:uiPriority w:val="99"/>
    <w:pPr>
      <w:widowControl/>
      <w:spacing w:line="276" w:lineRule="auto"/>
      <w:jc w:val="left"/>
      <w:outlineLvl w:val="8"/>
    </w:pPr>
    <w:rPr>
      <w:rFonts w:ascii="Cambria" w:hAnsi="Cambria" w:cs="Cambria"/>
      <w:i/>
      <w:iCs/>
      <w:spacing w:val="5"/>
      <w:kern w:val="0"/>
      <w:sz w:val="2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9"/>
    <w:qFormat/>
    <w:uiPriority w:val="99"/>
    <w:pPr>
      <w:tabs>
        <w:tab w:val="center" w:pos="4153"/>
        <w:tab w:val="right" w:pos="8306"/>
      </w:tabs>
      <w:snapToGrid w:val="0"/>
      <w:jc w:val="left"/>
    </w:pPr>
    <w:rPr>
      <w:sz w:val="18"/>
      <w:szCs w:val="18"/>
    </w:rPr>
  </w:style>
  <w:style w:type="paragraph" w:styleId="12">
    <w:name w:val="toc 7"/>
    <w:basedOn w:val="1"/>
    <w:next w:val="1"/>
    <w:semiHidden/>
    <w:qFormat/>
    <w:uiPriority w:val="99"/>
    <w:pPr>
      <w:widowControl/>
      <w:spacing w:after="200" w:line="276" w:lineRule="auto"/>
      <w:ind w:left="1260"/>
      <w:jc w:val="left"/>
    </w:pPr>
    <w:rPr>
      <w:rFonts w:ascii="Calibri" w:hAnsi="Calibri" w:cs="Calibri"/>
      <w:kern w:val="0"/>
      <w:sz w:val="18"/>
      <w:szCs w:val="18"/>
    </w:rPr>
  </w:style>
  <w:style w:type="paragraph" w:styleId="13">
    <w:name w:val="Normal Indent"/>
    <w:basedOn w:val="1"/>
    <w:link w:val="141"/>
    <w:qFormat/>
    <w:uiPriority w:val="99"/>
    <w:pPr>
      <w:adjustRightInd w:val="0"/>
      <w:spacing w:line="312" w:lineRule="atLeast"/>
      <w:ind w:firstLine="420"/>
      <w:textAlignment w:val="baseline"/>
    </w:pPr>
    <w:rPr>
      <w:kern w:val="0"/>
      <w:sz w:val="20"/>
      <w:szCs w:val="20"/>
    </w:rPr>
  </w:style>
  <w:style w:type="paragraph" w:styleId="14">
    <w:name w:val="caption"/>
    <w:basedOn w:val="1"/>
    <w:next w:val="1"/>
    <w:link w:val="81"/>
    <w:qFormat/>
    <w:uiPriority w:val="99"/>
    <w:pPr>
      <w:ind w:firstLine="200" w:firstLineChars="200"/>
    </w:pPr>
    <w:rPr>
      <w:rFonts w:ascii="Cambria" w:hAnsi="Cambria" w:eastAsia="黑体" w:cs="Cambria"/>
      <w:sz w:val="20"/>
      <w:szCs w:val="20"/>
    </w:rPr>
  </w:style>
  <w:style w:type="paragraph" w:styleId="15">
    <w:name w:val="Document Map"/>
    <w:basedOn w:val="1"/>
    <w:link w:val="63"/>
    <w:semiHidden/>
    <w:qFormat/>
    <w:uiPriority w:val="99"/>
    <w:pPr>
      <w:widowControl/>
      <w:spacing w:after="200" w:line="276" w:lineRule="auto"/>
      <w:jc w:val="left"/>
    </w:pPr>
    <w:rPr>
      <w:rFonts w:ascii="宋体" w:hAnsi="Calibri" w:cs="宋体"/>
      <w:kern w:val="0"/>
      <w:sz w:val="18"/>
      <w:szCs w:val="18"/>
    </w:rPr>
  </w:style>
  <w:style w:type="paragraph" w:styleId="16">
    <w:name w:val="annotation text"/>
    <w:basedOn w:val="1"/>
    <w:link w:val="61"/>
    <w:semiHidden/>
    <w:qFormat/>
    <w:uiPriority w:val="99"/>
    <w:pPr>
      <w:ind w:firstLine="200" w:firstLineChars="200"/>
      <w:jc w:val="left"/>
    </w:pPr>
    <w:rPr>
      <w:sz w:val="28"/>
      <w:szCs w:val="28"/>
    </w:rPr>
  </w:style>
  <w:style w:type="paragraph" w:styleId="17">
    <w:name w:val="Body Text"/>
    <w:basedOn w:val="1"/>
    <w:link w:val="64"/>
    <w:qFormat/>
    <w:uiPriority w:val="99"/>
    <w:pPr>
      <w:spacing w:after="120"/>
      <w:ind w:firstLine="200" w:firstLineChars="200"/>
    </w:pPr>
    <w:rPr>
      <w:sz w:val="28"/>
      <w:szCs w:val="28"/>
    </w:rPr>
  </w:style>
  <w:style w:type="paragraph" w:styleId="18">
    <w:name w:val="Body Text Indent"/>
    <w:basedOn w:val="1"/>
    <w:link w:val="65"/>
    <w:qFormat/>
    <w:uiPriority w:val="99"/>
    <w:pPr>
      <w:widowControl/>
      <w:spacing w:after="200" w:line="276" w:lineRule="auto"/>
      <w:ind w:firstLine="705"/>
      <w:jc w:val="left"/>
    </w:pPr>
    <w:rPr>
      <w:rFonts w:ascii="Calibri" w:hAnsi="Calibri" w:cs="Calibri"/>
      <w:kern w:val="0"/>
      <w:sz w:val="28"/>
      <w:szCs w:val="28"/>
      <w:lang w:val="en-GB"/>
    </w:rPr>
  </w:style>
  <w:style w:type="paragraph" w:styleId="19">
    <w:name w:val="toc 5"/>
    <w:basedOn w:val="1"/>
    <w:next w:val="1"/>
    <w:semiHidden/>
    <w:qFormat/>
    <w:uiPriority w:val="99"/>
    <w:pPr>
      <w:widowControl/>
      <w:spacing w:after="200" w:line="276" w:lineRule="auto"/>
      <w:ind w:left="840"/>
      <w:jc w:val="left"/>
    </w:pPr>
    <w:rPr>
      <w:rFonts w:ascii="Calibri" w:hAnsi="Calibri" w:cs="Calibri"/>
      <w:kern w:val="0"/>
      <w:sz w:val="18"/>
      <w:szCs w:val="18"/>
    </w:rPr>
  </w:style>
  <w:style w:type="paragraph" w:styleId="20">
    <w:name w:val="toc 3"/>
    <w:basedOn w:val="1"/>
    <w:next w:val="1"/>
    <w:semiHidden/>
    <w:qFormat/>
    <w:uiPriority w:val="99"/>
    <w:pPr>
      <w:widowControl/>
      <w:spacing w:after="200" w:line="276" w:lineRule="auto"/>
      <w:ind w:left="420"/>
      <w:jc w:val="left"/>
    </w:pPr>
    <w:rPr>
      <w:rFonts w:ascii="Calibri" w:hAnsi="Calibri" w:cs="Calibri"/>
      <w:i/>
      <w:iCs/>
      <w:kern w:val="0"/>
      <w:sz w:val="20"/>
      <w:szCs w:val="20"/>
    </w:rPr>
  </w:style>
  <w:style w:type="paragraph" w:styleId="21">
    <w:name w:val="toc 8"/>
    <w:basedOn w:val="1"/>
    <w:next w:val="1"/>
    <w:semiHidden/>
    <w:qFormat/>
    <w:uiPriority w:val="99"/>
    <w:pPr>
      <w:widowControl/>
      <w:spacing w:after="200" w:line="276" w:lineRule="auto"/>
      <w:ind w:left="1470"/>
      <w:jc w:val="left"/>
    </w:pPr>
    <w:rPr>
      <w:rFonts w:ascii="Calibri" w:hAnsi="Calibri" w:cs="Calibri"/>
      <w:kern w:val="0"/>
      <w:sz w:val="18"/>
      <w:szCs w:val="18"/>
    </w:rPr>
  </w:style>
  <w:style w:type="paragraph" w:styleId="22">
    <w:name w:val="Date"/>
    <w:basedOn w:val="1"/>
    <w:next w:val="1"/>
    <w:link w:val="66"/>
    <w:qFormat/>
    <w:uiPriority w:val="99"/>
    <w:pPr>
      <w:widowControl/>
      <w:spacing w:after="200" w:line="276" w:lineRule="auto"/>
      <w:jc w:val="left"/>
    </w:pPr>
    <w:rPr>
      <w:rFonts w:ascii="Calibri" w:hAnsi="Calibri" w:cs="Calibri"/>
      <w:kern w:val="0"/>
      <w:sz w:val="28"/>
      <w:szCs w:val="28"/>
    </w:rPr>
  </w:style>
  <w:style w:type="paragraph" w:styleId="23">
    <w:name w:val="Body Text Indent 2"/>
    <w:basedOn w:val="1"/>
    <w:link w:val="67"/>
    <w:qFormat/>
    <w:uiPriority w:val="99"/>
    <w:pPr>
      <w:spacing w:after="120" w:line="480" w:lineRule="auto"/>
      <w:ind w:left="420" w:leftChars="200" w:firstLine="200" w:firstLineChars="200"/>
    </w:pPr>
    <w:rPr>
      <w:sz w:val="28"/>
      <w:szCs w:val="28"/>
    </w:rPr>
  </w:style>
  <w:style w:type="paragraph" w:styleId="24">
    <w:name w:val="Balloon Text"/>
    <w:basedOn w:val="1"/>
    <w:link w:val="68"/>
    <w:semiHidden/>
    <w:qFormat/>
    <w:uiPriority w:val="99"/>
    <w:pPr>
      <w:ind w:firstLine="200" w:firstLineChars="200"/>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99"/>
    <w:pPr>
      <w:widowControl/>
      <w:spacing w:beforeLines="50" w:afterLines="50" w:line="360" w:lineRule="auto"/>
      <w:jc w:val="left"/>
    </w:pPr>
    <w:rPr>
      <w:rFonts w:eastAsia="黑体"/>
      <w:caps/>
      <w:kern w:val="0"/>
    </w:rPr>
  </w:style>
  <w:style w:type="paragraph" w:styleId="27">
    <w:name w:val="toc 4"/>
    <w:basedOn w:val="1"/>
    <w:next w:val="1"/>
    <w:semiHidden/>
    <w:qFormat/>
    <w:uiPriority w:val="99"/>
    <w:pPr>
      <w:widowControl/>
      <w:spacing w:after="200" w:line="276" w:lineRule="auto"/>
      <w:ind w:left="630"/>
      <w:jc w:val="left"/>
    </w:pPr>
    <w:rPr>
      <w:rFonts w:ascii="Calibri" w:hAnsi="Calibri" w:cs="Calibri"/>
      <w:kern w:val="0"/>
      <w:sz w:val="18"/>
      <w:szCs w:val="18"/>
    </w:rPr>
  </w:style>
  <w:style w:type="paragraph" w:styleId="28">
    <w:name w:val="Subtitle"/>
    <w:basedOn w:val="1"/>
    <w:next w:val="1"/>
    <w:link w:val="69"/>
    <w:qFormat/>
    <w:uiPriority w:val="99"/>
    <w:pPr>
      <w:widowControl/>
      <w:spacing w:after="600" w:line="276" w:lineRule="auto"/>
      <w:jc w:val="left"/>
    </w:pPr>
    <w:rPr>
      <w:rFonts w:ascii="Cambria" w:hAnsi="Cambria" w:cs="Cambria"/>
      <w:i/>
      <w:iCs/>
      <w:spacing w:val="13"/>
      <w:kern w:val="0"/>
      <w:sz w:val="24"/>
      <w:szCs w:val="24"/>
    </w:rPr>
  </w:style>
  <w:style w:type="paragraph" w:styleId="29">
    <w:name w:val="footnote text"/>
    <w:basedOn w:val="1"/>
    <w:link w:val="70"/>
    <w:qFormat/>
    <w:uiPriority w:val="99"/>
    <w:pPr>
      <w:widowControl/>
      <w:jc w:val="left"/>
    </w:pPr>
    <w:rPr>
      <w:rFonts w:ascii="Calibri" w:hAnsi="Calibri" w:cs="Calibri"/>
      <w:kern w:val="0"/>
      <w:sz w:val="20"/>
      <w:szCs w:val="20"/>
    </w:rPr>
  </w:style>
  <w:style w:type="paragraph" w:styleId="30">
    <w:name w:val="toc 6"/>
    <w:basedOn w:val="1"/>
    <w:next w:val="1"/>
    <w:semiHidden/>
    <w:qFormat/>
    <w:uiPriority w:val="99"/>
    <w:pPr>
      <w:widowControl/>
      <w:spacing w:after="200" w:line="276" w:lineRule="auto"/>
      <w:ind w:left="1050"/>
      <w:jc w:val="left"/>
    </w:pPr>
    <w:rPr>
      <w:rFonts w:ascii="Calibri" w:hAnsi="Calibri" w:cs="Calibri"/>
      <w:kern w:val="0"/>
      <w:sz w:val="18"/>
      <w:szCs w:val="18"/>
    </w:rPr>
  </w:style>
  <w:style w:type="paragraph" w:styleId="31">
    <w:name w:val="Body Text Indent 3"/>
    <w:basedOn w:val="1"/>
    <w:link w:val="71"/>
    <w:qFormat/>
    <w:uiPriority w:val="99"/>
    <w:pPr>
      <w:widowControl/>
      <w:spacing w:after="200" w:line="560" w:lineRule="exact"/>
      <w:ind w:firstLine="560" w:firstLineChars="200"/>
      <w:jc w:val="left"/>
    </w:pPr>
    <w:rPr>
      <w:rFonts w:ascii="仿宋_GB2312" w:hAnsi="Calibri" w:cs="仿宋_GB2312"/>
      <w:kern w:val="0"/>
      <w:sz w:val="28"/>
      <w:szCs w:val="28"/>
    </w:rPr>
  </w:style>
  <w:style w:type="paragraph" w:styleId="32">
    <w:name w:val="toc 2"/>
    <w:basedOn w:val="1"/>
    <w:next w:val="1"/>
    <w:link w:val="152"/>
    <w:semiHidden/>
    <w:qFormat/>
    <w:uiPriority w:val="99"/>
    <w:pPr>
      <w:widowControl/>
      <w:spacing w:after="200" w:line="276" w:lineRule="auto"/>
      <w:ind w:left="210"/>
      <w:jc w:val="left"/>
    </w:pPr>
    <w:rPr>
      <w:rFonts w:ascii="Calibri" w:hAnsi="Calibri" w:eastAsia="黑体" w:cs="Calibri"/>
      <w:smallCaps/>
      <w:kern w:val="0"/>
    </w:rPr>
  </w:style>
  <w:style w:type="paragraph" w:styleId="33">
    <w:name w:val="toc 9"/>
    <w:basedOn w:val="1"/>
    <w:next w:val="1"/>
    <w:semiHidden/>
    <w:qFormat/>
    <w:uiPriority w:val="99"/>
    <w:pPr>
      <w:widowControl/>
      <w:spacing w:after="200" w:line="276" w:lineRule="auto"/>
      <w:ind w:left="1680"/>
      <w:jc w:val="left"/>
    </w:pPr>
    <w:rPr>
      <w:rFonts w:ascii="Calibri" w:hAnsi="Calibri" w:cs="Calibri"/>
      <w:kern w:val="0"/>
      <w:sz w:val="18"/>
      <w:szCs w:val="18"/>
    </w:rPr>
  </w:style>
  <w:style w:type="paragraph" w:styleId="34">
    <w:name w:val="Body Text 2"/>
    <w:basedOn w:val="1"/>
    <w:link w:val="72"/>
    <w:qFormat/>
    <w:uiPriority w:val="99"/>
    <w:pPr>
      <w:widowControl/>
      <w:spacing w:after="200" w:line="276" w:lineRule="auto"/>
      <w:jc w:val="left"/>
    </w:pPr>
    <w:rPr>
      <w:rFonts w:ascii="宋体" w:hAnsi="宋体" w:cs="宋体"/>
      <w:kern w:val="0"/>
      <w:sz w:val="28"/>
      <w:szCs w:val="28"/>
    </w:rPr>
  </w:style>
  <w:style w:type="paragraph" w:styleId="35">
    <w:name w:val="Normal (Web)"/>
    <w:basedOn w:val="1"/>
    <w:link w:val="145"/>
    <w:qFormat/>
    <w:uiPriority w:val="99"/>
    <w:pPr>
      <w:spacing w:before="100" w:beforeAutospacing="1" w:after="100" w:afterAutospacing="1"/>
      <w:jc w:val="left"/>
    </w:pPr>
    <w:rPr>
      <w:kern w:val="0"/>
      <w:sz w:val="24"/>
      <w:szCs w:val="24"/>
    </w:rPr>
  </w:style>
  <w:style w:type="paragraph" w:styleId="36">
    <w:name w:val="Title"/>
    <w:basedOn w:val="1"/>
    <w:next w:val="1"/>
    <w:link w:val="60"/>
    <w:qFormat/>
    <w:uiPriority w:val="99"/>
    <w:pPr>
      <w:spacing w:before="240" w:after="60"/>
      <w:ind w:firstLine="200" w:firstLineChars="200"/>
      <w:jc w:val="center"/>
      <w:outlineLvl w:val="0"/>
    </w:pPr>
    <w:rPr>
      <w:rFonts w:ascii="Cambria" w:hAnsi="Cambria" w:cs="Cambria"/>
      <w:b/>
      <w:bCs/>
      <w:sz w:val="32"/>
      <w:szCs w:val="32"/>
    </w:rPr>
  </w:style>
  <w:style w:type="paragraph" w:styleId="37">
    <w:name w:val="annotation subject"/>
    <w:basedOn w:val="16"/>
    <w:next w:val="16"/>
    <w:link w:val="62"/>
    <w:semiHidden/>
    <w:qFormat/>
    <w:uiPriority w:val="99"/>
    <w:rPr>
      <w:b/>
      <w:bCs/>
    </w:rPr>
  </w:style>
  <w:style w:type="paragraph" w:styleId="38">
    <w:name w:val="Body Text First Indent"/>
    <w:basedOn w:val="1"/>
    <w:qFormat/>
    <w:locked/>
    <w:uiPriority w:val="99"/>
    <w:pPr>
      <w:ind w:firstLine="420" w:firstLineChars="100"/>
    </w:pPr>
  </w:style>
  <w:style w:type="table" w:styleId="40">
    <w:name w:val="Table Grid"/>
    <w:basedOn w:val="3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99"/>
    <w:rPr>
      <w:b/>
      <w:bCs/>
    </w:rPr>
  </w:style>
  <w:style w:type="character" w:styleId="43">
    <w:name w:val="page number"/>
    <w:basedOn w:val="41"/>
    <w:qFormat/>
    <w:uiPriority w:val="99"/>
  </w:style>
  <w:style w:type="character" w:styleId="44">
    <w:name w:val="FollowedHyperlink"/>
    <w:qFormat/>
    <w:uiPriority w:val="99"/>
    <w:rPr>
      <w:color w:val="800080"/>
      <w:u w:val="single"/>
    </w:rPr>
  </w:style>
  <w:style w:type="character" w:styleId="45">
    <w:name w:val="Emphasis"/>
    <w:qFormat/>
    <w:uiPriority w:val="99"/>
    <w:rPr>
      <w:b/>
      <w:bCs/>
      <w:i/>
      <w:iCs/>
      <w:spacing w:val="10"/>
      <w:shd w:val="clear" w:color="auto" w:fill="auto"/>
    </w:rPr>
  </w:style>
  <w:style w:type="character" w:styleId="46">
    <w:name w:val="Hyperlink"/>
    <w:qFormat/>
    <w:uiPriority w:val="99"/>
    <w:rPr>
      <w:color w:val="0000FF"/>
      <w:u w:val="single"/>
    </w:rPr>
  </w:style>
  <w:style w:type="character" w:styleId="47">
    <w:name w:val="annotation reference"/>
    <w:semiHidden/>
    <w:qFormat/>
    <w:uiPriority w:val="99"/>
    <w:rPr>
      <w:sz w:val="21"/>
      <w:szCs w:val="21"/>
    </w:rPr>
  </w:style>
  <w:style w:type="paragraph" w:customStyle="1" w:styleId="4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标题 1 Char"/>
    <w:link w:val="3"/>
    <w:qFormat/>
    <w:locked/>
    <w:uiPriority w:val="99"/>
    <w:rPr>
      <w:rFonts w:ascii="Cambria" w:hAnsi="Cambria" w:eastAsia="黑体" w:cs="Cambria"/>
      <w:kern w:val="44"/>
      <w:sz w:val="44"/>
      <w:szCs w:val="44"/>
    </w:rPr>
  </w:style>
  <w:style w:type="character" w:customStyle="1" w:styleId="50">
    <w:name w:val="标题 2 Char"/>
    <w:link w:val="4"/>
    <w:qFormat/>
    <w:locked/>
    <w:uiPriority w:val="99"/>
    <w:rPr>
      <w:rFonts w:ascii="Arial" w:hAnsi="Arial" w:eastAsia="黑体" w:cs="Arial"/>
      <w:b/>
      <w:bCs/>
      <w:sz w:val="32"/>
      <w:szCs w:val="32"/>
    </w:rPr>
  </w:style>
  <w:style w:type="character" w:customStyle="1" w:styleId="51">
    <w:name w:val="标题 3 Char"/>
    <w:link w:val="5"/>
    <w:qFormat/>
    <w:locked/>
    <w:uiPriority w:val="99"/>
    <w:rPr>
      <w:rFonts w:ascii="Times New Roman" w:hAnsi="Times New Roman" w:eastAsia="宋体" w:cs="Times New Roman"/>
      <w:b/>
      <w:bCs/>
      <w:sz w:val="32"/>
      <w:szCs w:val="32"/>
    </w:rPr>
  </w:style>
  <w:style w:type="character" w:customStyle="1" w:styleId="52">
    <w:name w:val="标题 4 Char"/>
    <w:link w:val="6"/>
    <w:qFormat/>
    <w:locked/>
    <w:uiPriority w:val="99"/>
    <w:rPr>
      <w:rFonts w:ascii="Cambria" w:hAnsi="Cambria" w:eastAsia="宋体" w:cs="Cambria"/>
      <w:b/>
      <w:bCs/>
      <w:i/>
      <w:iCs/>
      <w:kern w:val="0"/>
      <w:sz w:val="22"/>
      <w:szCs w:val="22"/>
    </w:rPr>
  </w:style>
  <w:style w:type="character" w:customStyle="1" w:styleId="53">
    <w:name w:val="标题 5 Char"/>
    <w:link w:val="7"/>
    <w:qFormat/>
    <w:locked/>
    <w:uiPriority w:val="99"/>
    <w:rPr>
      <w:rFonts w:ascii="Cambria" w:hAnsi="Cambria" w:eastAsia="宋体" w:cs="Cambria"/>
      <w:b/>
      <w:bCs/>
      <w:color w:val="7F7F7F"/>
      <w:kern w:val="0"/>
      <w:sz w:val="22"/>
      <w:szCs w:val="22"/>
    </w:rPr>
  </w:style>
  <w:style w:type="character" w:customStyle="1" w:styleId="54">
    <w:name w:val="标题 6 Char"/>
    <w:link w:val="8"/>
    <w:qFormat/>
    <w:locked/>
    <w:uiPriority w:val="99"/>
    <w:rPr>
      <w:rFonts w:ascii="Cambria" w:hAnsi="Cambria" w:eastAsia="宋体" w:cs="Cambria"/>
      <w:b/>
      <w:bCs/>
      <w:i/>
      <w:iCs/>
      <w:color w:val="7F7F7F"/>
      <w:kern w:val="0"/>
      <w:sz w:val="22"/>
      <w:szCs w:val="22"/>
    </w:rPr>
  </w:style>
  <w:style w:type="character" w:customStyle="1" w:styleId="55">
    <w:name w:val="标题 7 Char"/>
    <w:link w:val="9"/>
    <w:qFormat/>
    <w:locked/>
    <w:uiPriority w:val="99"/>
    <w:rPr>
      <w:rFonts w:ascii="Cambria" w:hAnsi="Cambria" w:eastAsia="宋体" w:cs="Cambria"/>
      <w:i/>
      <w:iCs/>
      <w:kern w:val="0"/>
      <w:sz w:val="22"/>
      <w:szCs w:val="22"/>
    </w:rPr>
  </w:style>
  <w:style w:type="character" w:customStyle="1" w:styleId="56">
    <w:name w:val="标题 8 Char"/>
    <w:link w:val="10"/>
    <w:qFormat/>
    <w:locked/>
    <w:uiPriority w:val="99"/>
    <w:rPr>
      <w:rFonts w:ascii="Cambria" w:hAnsi="Cambria" w:eastAsia="宋体" w:cs="Cambria"/>
      <w:kern w:val="0"/>
      <w:sz w:val="20"/>
      <w:szCs w:val="20"/>
    </w:rPr>
  </w:style>
  <w:style w:type="character" w:customStyle="1" w:styleId="57">
    <w:name w:val="标题 9 Char"/>
    <w:link w:val="11"/>
    <w:qFormat/>
    <w:locked/>
    <w:uiPriority w:val="99"/>
    <w:rPr>
      <w:rFonts w:ascii="Cambria" w:hAnsi="Cambria" w:eastAsia="宋体" w:cs="Cambria"/>
      <w:i/>
      <w:iCs/>
      <w:spacing w:val="5"/>
      <w:kern w:val="0"/>
      <w:sz w:val="20"/>
      <w:szCs w:val="20"/>
    </w:rPr>
  </w:style>
  <w:style w:type="character" w:customStyle="1" w:styleId="58">
    <w:name w:val="页眉 Char"/>
    <w:link w:val="25"/>
    <w:qFormat/>
    <w:locked/>
    <w:uiPriority w:val="99"/>
    <w:rPr>
      <w:sz w:val="18"/>
      <w:szCs w:val="18"/>
    </w:rPr>
  </w:style>
  <w:style w:type="character" w:customStyle="1" w:styleId="59">
    <w:name w:val="页脚 Char"/>
    <w:link w:val="2"/>
    <w:qFormat/>
    <w:locked/>
    <w:uiPriority w:val="99"/>
    <w:rPr>
      <w:sz w:val="18"/>
      <w:szCs w:val="18"/>
    </w:rPr>
  </w:style>
  <w:style w:type="character" w:customStyle="1" w:styleId="60">
    <w:name w:val="标题 Char"/>
    <w:link w:val="36"/>
    <w:qFormat/>
    <w:locked/>
    <w:uiPriority w:val="99"/>
    <w:rPr>
      <w:rFonts w:ascii="Cambria" w:hAnsi="Cambria" w:eastAsia="宋体" w:cs="Cambria"/>
      <w:b/>
      <w:bCs/>
      <w:sz w:val="32"/>
      <w:szCs w:val="32"/>
    </w:rPr>
  </w:style>
  <w:style w:type="character" w:customStyle="1" w:styleId="61">
    <w:name w:val="批注文字 Char"/>
    <w:link w:val="16"/>
    <w:qFormat/>
    <w:locked/>
    <w:uiPriority w:val="99"/>
    <w:rPr>
      <w:rFonts w:ascii="Times New Roman" w:hAnsi="Times New Roman" w:eastAsia="宋体" w:cs="Times New Roman"/>
      <w:sz w:val="21"/>
      <w:szCs w:val="21"/>
    </w:rPr>
  </w:style>
  <w:style w:type="character" w:customStyle="1" w:styleId="62">
    <w:name w:val="批注主题 Char"/>
    <w:link w:val="37"/>
    <w:qFormat/>
    <w:locked/>
    <w:uiPriority w:val="99"/>
    <w:rPr>
      <w:rFonts w:ascii="Times New Roman" w:hAnsi="Times New Roman" w:eastAsia="宋体" w:cs="Times New Roman"/>
      <w:b/>
      <w:bCs/>
      <w:sz w:val="21"/>
      <w:szCs w:val="21"/>
    </w:rPr>
  </w:style>
  <w:style w:type="character" w:customStyle="1" w:styleId="63">
    <w:name w:val="文档结构图 Char"/>
    <w:link w:val="15"/>
    <w:qFormat/>
    <w:locked/>
    <w:uiPriority w:val="99"/>
    <w:rPr>
      <w:rFonts w:ascii="宋体" w:hAnsi="Calibri" w:eastAsia="宋体" w:cs="宋体"/>
      <w:kern w:val="0"/>
      <w:sz w:val="18"/>
      <w:szCs w:val="18"/>
    </w:rPr>
  </w:style>
  <w:style w:type="character" w:customStyle="1" w:styleId="64">
    <w:name w:val="正文文本 Char"/>
    <w:link w:val="17"/>
    <w:qFormat/>
    <w:locked/>
    <w:uiPriority w:val="99"/>
    <w:rPr>
      <w:rFonts w:ascii="Times New Roman" w:hAnsi="Times New Roman" w:eastAsia="宋体" w:cs="Times New Roman"/>
      <w:sz w:val="21"/>
      <w:szCs w:val="21"/>
    </w:rPr>
  </w:style>
  <w:style w:type="character" w:customStyle="1" w:styleId="65">
    <w:name w:val="正文文本缩进 Char"/>
    <w:link w:val="18"/>
    <w:qFormat/>
    <w:locked/>
    <w:uiPriority w:val="99"/>
    <w:rPr>
      <w:rFonts w:ascii="Calibri" w:hAnsi="Calibri" w:eastAsia="宋体" w:cs="Calibri"/>
      <w:kern w:val="0"/>
      <w:sz w:val="28"/>
      <w:szCs w:val="28"/>
      <w:lang w:val="en-GB"/>
    </w:rPr>
  </w:style>
  <w:style w:type="character" w:customStyle="1" w:styleId="66">
    <w:name w:val="日期 Char"/>
    <w:link w:val="22"/>
    <w:qFormat/>
    <w:locked/>
    <w:uiPriority w:val="99"/>
    <w:rPr>
      <w:rFonts w:ascii="Calibri" w:hAnsi="Calibri" w:eastAsia="宋体" w:cs="Calibri"/>
      <w:kern w:val="0"/>
      <w:sz w:val="28"/>
      <w:szCs w:val="28"/>
    </w:rPr>
  </w:style>
  <w:style w:type="character" w:customStyle="1" w:styleId="67">
    <w:name w:val="正文文本缩进 2 Char"/>
    <w:link w:val="23"/>
    <w:qFormat/>
    <w:locked/>
    <w:uiPriority w:val="99"/>
    <w:rPr>
      <w:rFonts w:ascii="Times New Roman" w:hAnsi="Times New Roman" w:eastAsia="宋体" w:cs="Times New Roman"/>
      <w:sz w:val="21"/>
      <w:szCs w:val="21"/>
    </w:rPr>
  </w:style>
  <w:style w:type="character" w:customStyle="1" w:styleId="68">
    <w:name w:val="批注框文本 Char"/>
    <w:link w:val="24"/>
    <w:qFormat/>
    <w:locked/>
    <w:uiPriority w:val="99"/>
    <w:rPr>
      <w:rFonts w:ascii="Times New Roman" w:hAnsi="Times New Roman" w:eastAsia="宋体" w:cs="Times New Roman"/>
      <w:sz w:val="18"/>
      <w:szCs w:val="18"/>
    </w:rPr>
  </w:style>
  <w:style w:type="character" w:customStyle="1" w:styleId="69">
    <w:name w:val="副标题 Char"/>
    <w:link w:val="28"/>
    <w:qFormat/>
    <w:locked/>
    <w:uiPriority w:val="99"/>
    <w:rPr>
      <w:rFonts w:ascii="Cambria" w:hAnsi="Cambria" w:eastAsia="宋体" w:cs="Cambria"/>
      <w:i/>
      <w:iCs/>
      <w:spacing w:val="13"/>
      <w:kern w:val="0"/>
      <w:sz w:val="24"/>
      <w:szCs w:val="24"/>
    </w:rPr>
  </w:style>
  <w:style w:type="character" w:customStyle="1" w:styleId="70">
    <w:name w:val="脚注文本 Char"/>
    <w:link w:val="29"/>
    <w:qFormat/>
    <w:locked/>
    <w:uiPriority w:val="99"/>
    <w:rPr>
      <w:kern w:val="0"/>
      <w:sz w:val="20"/>
      <w:szCs w:val="20"/>
    </w:rPr>
  </w:style>
  <w:style w:type="character" w:customStyle="1" w:styleId="71">
    <w:name w:val="正文文本缩进 3 Char"/>
    <w:link w:val="31"/>
    <w:qFormat/>
    <w:locked/>
    <w:uiPriority w:val="99"/>
    <w:rPr>
      <w:rFonts w:ascii="仿宋_GB2312" w:hAnsi="Calibri" w:eastAsia="宋体" w:cs="仿宋_GB2312"/>
      <w:kern w:val="0"/>
      <w:sz w:val="28"/>
      <w:szCs w:val="28"/>
    </w:rPr>
  </w:style>
  <w:style w:type="character" w:customStyle="1" w:styleId="72">
    <w:name w:val="正文文本 2 Char"/>
    <w:link w:val="34"/>
    <w:qFormat/>
    <w:locked/>
    <w:uiPriority w:val="99"/>
    <w:rPr>
      <w:rFonts w:ascii="宋体" w:hAnsi="宋体" w:eastAsia="宋体" w:cs="宋体"/>
      <w:kern w:val="0"/>
      <w:sz w:val="28"/>
      <w:szCs w:val="28"/>
    </w:rPr>
  </w:style>
  <w:style w:type="table" w:customStyle="1" w:styleId="73">
    <w:name w:val="浅色底纹 - 强调文字颜色 11"/>
    <w:basedOn w:val="39"/>
    <w:qFormat/>
    <w:uiPriority w:val="60"/>
    <w:rPr>
      <w:rFonts w:cs="Calibri"/>
      <w:color w:val="365F91"/>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la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firstCol">
      <w:rPr>
        <w:b/>
        <w:bCs/>
        <w:color w:val="365F91"/>
      </w:rPr>
    </w:tblStylePr>
    <w:tblStylePr w:type="lastCol">
      <w:rPr>
        <w:b/>
        <w:bCs/>
        <w:color w:val="365F91"/>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74">
    <w:name w:val="未处理的提及1"/>
    <w:semiHidden/>
    <w:qFormat/>
    <w:uiPriority w:val="99"/>
    <w:rPr>
      <w:color w:val="auto"/>
      <w:shd w:val="clear" w:color="auto" w:fill="auto"/>
    </w:rPr>
  </w:style>
  <w:style w:type="paragraph" w:styleId="75">
    <w:name w:val="List Paragraph"/>
    <w:basedOn w:val="1"/>
    <w:qFormat/>
    <w:uiPriority w:val="99"/>
    <w:pPr>
      <w:ind w:firstLine="420" w:firstLineChars="200"/>
    </w:pPr>
    <w:rPr>
      <w:sz w:val="28"/>
      <w:szCs w:val="28"/>
    </w:rPr>
  </w:style>
  <w:style w:type="character" w:styleId="76">
    <w:name w:val="Placeholder Text"/>
    <w:semiHidden/>
    <w:qFormat/>
    <w:uiPriority w:val="99"/>
    <w:rPr>
      <w:color w:val="808080"/>
    </w:rPr>
  </w:style>
  <w:style w:type="paragraph" w:customStyle="1" w:styleId="77">
    <w:name w:val="hky正文"/>
    <w:basedOn w:val="1"/>
    <w:link w:val="79"/>
    <w:qFormat/>
    <w:uiPriority w:val="99"/>
    <w:pPr>
      <w:spacing w:line="360" w:lineRule="auto"/>
      <w:ind w:firstLine="560" w:firstLineChars="200"/>
      <w:textAlignment w:val="baseline"/>
    </w:pPr>
    <w:rPr>
      <w:sz w:val="24"/>
      <w:szCs w:val="24"/>
      <w:lang w:val="en-GB"/>
    </w:rPr>
  </w:style>
  <w:style w:type="paragraph" w:customStyle="1" w:styleId="78">
    <w:name w:val="hky图题"/>
    <w:basedOn w:val="14"/>
    <w:link w:val="82"/>
    <w:qFormat/>
    <w:uiPriority w:val="99"/>
    <w:pPr>
      <w:spacing w:beforeLines="50" w:afterLines="50" w:line="360" w:lineRule="auto"/>
      <w:ind w:firstLine="0" w:firstLineChars="0"/>
      <w:jc w:val="center"/>
    </w:pPr>
    <w:rPr>
      <w:rFonts w:ascii="Times New Roman" w:hAnsi="Times New Roman" w:cs="Times New Roman"/>
    </w:rPr>
  </w:style>
  <w:style w:type="character" w:customStyle="1" w:styleId="79">
    <w:name w:val="hky正文 字符"/>
    <w:link w:val="77"/>
    <w:qFormat/>
    <w:locked/>
    <w:uiPriority w:val="99"/>
    <w:rPr>
      <w:rFonts w:ascii="Times New Roman" w:hAnsi="Times New Roman" w:eastAsia="宋体" w:cs="Times New Roman"/>
      <w:sz w:val="28"/>
      <w:szCs w:val="28"/>
      <w:lang w:val="en-GB"/>
    </w:rPr>
  </w:style>
  <w:style w:type="paragraph" w:customStyle="1" w:styleId="80">
    <w:name w:val="hky表格字体"/>
    <w:basedOn w:val="1"/>
    <w:link w:val="84"/>
    <w:qFormat/>
    <w:uiPriority w:val="99"/>
    <w:pPr>
      <w:jc w:val="center"/>
    </w:pPr>
  </w:style>
  <w:style w:type="character" w:customStyle="1" w:styleId="81">
    <w:name w:val="题注 Char"/>
    <w:link w:val="14"/>
    <w:qFormat/>
    <w:locked/>
    <w:uiPriority w:val="99"/>
    <w:rPr>
      <w:rFonts w:ascii="Cambria" w:hAnsi="Cambria" w:eastAsia="黑体" w:cs="Cambria"/>
      <w:sz w:val="20"/>
      <w:szCs w:val="20"/>
    </w:rPr>
  </w:style>
  <w:style w:type="character" w:customStyle="1" w:styleId="82">
    <w:name w:val="hky图题 字符"/>
    <w:link w:val="78"/>
    <w:qFormat/>
    <w:locked/>
    <w:uiPriority w:val="99"/>
    <w:rPr>
      <w:rFonts w:ascii="Times New Roman" w:hAnsi="Times New Roman" w:eastAsia="黑体" w:cs="Times New Roman"/>
      <w:sz w:val="28"/>
      <w:szCs w:val="28"/>
    </w:rPr>
  </w:style>
  <w:style w:type="paragraph" w:customStyle="1" w:styleId="83">
    <w:name w:val="hky3级"/>
    <w:basedOn w:val="1"/>
    <w:link w:val="85"/>
    <w:qFormat/>
    <w:uiPriority w:val="99"/>
    <w:pPr>
      <w:keepNext/>
      <w:spacing w:beforeLines="50" w:afterLines="50" w:line="360" w:lineRule="auto"/>
      <w:outlineLvl w:val="2"/>
    </w:pPr>
    <w:rPr>
      <w:b/>
      <w:bCs/>
      <w:sz w:val="24"/>
      <w:szCs w:val="24"/>
    </w:rPr>
  </w:style>
  <w:style w:type="character" w:customStyle="1" w:styleId="84">
    <w:name w:val="hky表格字体 字符"/>
    <w:link w:val="80"/>
    <w:qFormat/>
    <w:locked/>
    <w:uiPriority w:val="99"/>
    <w:rPr>
      <w:rFonts w:ascii="Times New Roman" w:hAnsi="Times New Roman" w:eastAsia="宋体" w:cs="Times New Roman"/>
      <w:sz w:val="21"/>
      <w:szCs w:val="21"/>
    </w:rPr>
  </w:style>
  <w:style w:type="character" w:customStyle="1" w:styleId="85">
    <w:name w:val="hky3级 字符"/>
    <w:link w:val="83"/>
    <w:qFormat/>
    <w:locked/>
    <w:uiPriority w:val="99"/>
    <w:rPr>
      <w:rFonts w:ascii="Times New Roman" w:hAnsi="Times New Roman" w:eastAsia="宋体" w:cs="Times New Roman"/>
      <w:b/>
      <w:bCs/>
      <w:sz w:val="24"/>
      <w:szCs w:val="24"/>
    </w:rPr>
  </w:style>
  <w:style w:type="table" w:customStyle="1" w:styleId="86">
    <w:name w:val="hky表格"/>
    <w:qFormat/>
    <w:uiPriority w:val="99"/>
    <w:pPr>
      <w:jc w:val="center"/>
    </w:pPr>
    <w:tblPr>
      <w:jc w:val="cente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rPr>
      <w:jc w:val="center"/>
    </w:trPr>
  </w:style>
  <w:style w:type="paragraph" w:customStyle="1" w:styleId="87">
    <w:name w:val="hky一级"/>
    <w:basedOn w:val="3"/>
    <w:link w:val="89"/>
    <w:qFormat/>
    <w:uiPriority w:val="99"/>
    <w:pPr>
      <w:snapToGrid w:val="0"/>
      <w:spacing w:beforeLines="50" w:afterLines="50" w:line="360" w:lineRule="auto"/>
    </w:pPr>
    <w:rPr>
      <w:rFonts w:eastAsia="宋体"/>
      <w:b/>
      <w:bCs/>
      <w:sz w:val="28"/>
      <w:szCs w:val="28"/>
    </w:rPr>
  </w:style>
  <w:style w:type="paragraph" w:customStyle="1" w:styleId="88">
    <w:name w:val="hky2级"/>
    <w:basedOn w:val="4"/>
    <w:link w:val="90"/>
    <w:qFormat/>
    <w:uiPriority w:val="99"/>
    <w:pPr>
      <w:snapToGrid w:val="0"/>
      <w:spacing w:beforeLines="50" w:afterLines="50" w:line="360" w:lineRule="auto"/>
    </w:pPr>
    <w:rPr>
      <w:rFonts w:ascii="Times New Roman" w:hAnsi="Times New Roman" w:eastAsia="宋体" w:cs="Times New Roman"/>
      <w:kern w:val="0"/>
      <w:sz w:val="24"/>
      <w:szCs w:val="24"/>
    </w:rPr>
  </w:style>
  <w:style w:type="character" w:customStyle="1" w:styleId="89">
    <w:name w:val="hky一级 字符"/>
    <w:link w:val="87"/>
    <w:qFormat/>
    <w:locked/>
    <w:uiPriority w:val="99"/>
    <w:rPr>
      <w:rFonts w:ascii="Times New Roman" w:hAnsi="Times New Roman" w:eastAsia="宋体" w:cs="Times New Roman"/>
      <w:b/>
      <w:bCs/>
      <w:kern w:val="44"/>
      <w:sz w:val="30"/>
      <w:szCs w:val="30"/>
    </w:rPr>
  </w:style>
  <w:style w:type="character" w:customStyle="1" w:styleId="90">
    <w:name w:val="hky2级 字符"/>
    <w:link w:val="88"/>
    <w:qFormat/>
    <w:locked/>
    <w:uiPriority w:val="99"/>
    <w:rPr>
      <w:rFonts w:ascii="Times New Roman" w:hAnsi="Times New Roman" w:eastAsia="宋体" w:cs="Times New Roman"/>
      <w:b/>
      <w:bCs/>
      <w:kern w:val="0"/>
      <w:sz w:val="28"/>
      <w:szCs w:val="28"/>
    </w:rPr>
  </w:style>
  <w:style w:type="paragraph" w:customStyle="1" w:styleId="91">
    <w:name w:val="hky标题"/>
    <w:basedOn w:val="1"/>
    <w:link w:val="93"/>
    <w:qFormat/>
    <w:uiPriority w:val="99"/>
    <w:pPr>
      <w:spacing w:beforeLines="50" w:line="360" w:lineRule="auto"/>
      <w:jc w:val="center"/>
      <w:outlineLvl w:val="0"/>
    </w:pPr>
    <w:rPr>
      <w:rFonts w:eastAsia="黑体"/>
      <w:color w:val="000000"/>
      <w:sz w:val="44"/>
      <w:szCs w:val="44"/>
    </w:rPr>
  </w:style>
  <w:style w:type="paragraph" w:customStyle="1" w:styleId="92">
    <w:name w:val="hky编制单位时间"/>
    <w:basedOn w:val="1"/>
    <w:link w:val="95"/>
    <w:qFormat/>
    <w:uiPriority w:val="99"/>
    <w:pPr>
      <w:jc w:val="center"/>
    </w:pPr>
    <w:rPr>
      <w:color w:val="000000"/>
      <w:sz w:val="28"/>
      <w:szCs w:val="28"/>
    </w:rPr>
  </w:style>
  <w:style w:type="character" w:customStyle="1" w:styleId="93">
    <w:name w:val="hky标题 字符"/>
    <w:link w:val="91"/>
    <w:qFormat/>
    <w:locked/>
    <w:uiPriority w:val="99"/>
    <w:rPr>
      <w:rFonts w:ascii="Times New Roman" w:hAnsi="Times New Roman" w:eastAsia="黑体" w:cs="Times New Roman"/>
      <w:color w:val="000000"/>
      <w:sz w:val="44"/>
      <w:szCs w:val="44"/>
    </w:rPr>
  </w:style>
  <w:style w:type="paragraph" w:customStyle="1" w:styleId="94">
    <w:name w:val="公式"/>
    <w:basedOn w:val="77"/>
    <w:link w:val="97"/>
    <w:qFormat/>
    <w:uiPriority w:val="99"/>
    <w:pPr>
      <w:ind w:firstLine="480"/>
      <w:jc w:val="right"/>
    </w:pPr>
  </w:style>
  <w:style w:type="character" w:customStyle="1" w:styleId="95">
    <w:name w:val="hky编制单位时间 字符"/>
    <w:link w:val="92"/>
    <w:qFormat/>
    <w:locked/>
    <w:uiPriority w:val="99"/>
    <w:rPr>
      <w:rFonts w:ascii="Times New Roman" w:hAnsi="Times New Roman" w:eastAsia="宋体" w:cs="Times New Roman"/>
      <w:color w:val="000000"/>
      <w:sz w:val="28"/>
      <w:szCs w:val="28"/>
    </w:rPr>
  </w:style>
  <w:style w:type="paragraph" w:customStyle="1" w:styleId="96">
    <w:name w:val="hky4级"/>
    <w:basedOn w:val="83"/>
    <w:link w:val="98"/>
    <w:qFormat/>
    <w:uiPriority w:val="99"/>
    <w:pPr>
      <w:spacing w:before="156" w:after="156"/>
      <w:outlineLvl w:val="3"/>
    </w:pPr>
  </w:style>
  <w:style w:type="character" w:customStyle="1" w:styleId="97">
    <w:name w:val="公式 字符"/>
    <w:link w:val="94"/>
    <w:qFormat/>
    <w:locked/>
    <w:uiPriority w:val="99"/>
    <w:rPr>
      <w:rFonts w:ascii="Times New Roman" w:hAnsi="Times New Roman" w:eastAsia="宋体" w:cs="Times New Roman"/>
      <w:sz w:val="28"/>
      <w:szCs w:val="28"/>
      <w:lang w:val="en-GB"/>
    </w:rPr>
  </w:style>
  <w:style w:type="character" w:customStyle="1" w:styleId="98">
    <w:name w:val="hky4级 字符"/>
    <w:link w:val="96"/>
    <w:qFormat/>
    <w:locked/>
    <w:uiPriority w:val="99"/>
    <w:rPr>
      <w:rFonts w:ascii="Times New Roman" w:hAnsi="Times New Roman" w:eastAsia="宋体" w:cs="Times New Roman"/>
      <w:b/>
      <w:bCs/>
      <w:sz w:val="24"/>
      <w:szCs w:val="24"/>
    </w:rPr>
  </w:style>
  <w:style w:type="paragraph" w:customStyle="1" w:styleId="99">
    <w:name w:val="标题2"/>
    <w:basedOn w:val="1"/>
    <w:next w:val="17"/>
    <w:link w:val="100"/>
    <w:qFormat/>
    <w:uiPriority w:val="99"/>
    <w:pPr>
      <w:numPr>
        <w:ilvl w:val="0"/>
        <w:numId w:val="1"/>
      </w:numPr>
      <w:tabs>
        <w:tab w:val="left" w:pos="1418"/>
      </w:tabs>
      <w:ind w:firstLine="200" w:firstLineChars="200"/>
      <w:outlineLvl w:val="1"/>
    </w:pPr>
    <w:rPr>
      <w:rFonts w:ascii="宋体" w:hAnsi="楷体" w:cs="宋体"/>
      <w:b/>
      <w:bCs/>
      <w:sz w:val="30"/>
      <w:szCs w:val="30"/>
    </w:rPr>
  </w:style>
  <w:style w:type="character" w:customStyle="1" w:styleId="100">
    <w:name w:val="标题2 Char"/>
    <w:link w:val="99"/>
    <w:qFormat/>
    <w:locked/>
    <w:uiPriority w:val="99"/>
    <w:rPr>
      <w:rFonts w:ascii="宋体" w:hAnsi="楷体" w:cs="宋体"/>
      <w:b/>
      <w:bCs/>
      <w:sz w:val="30"/>
      <w:szCs w:val="30"/>
    </w:rPr>
  </w:style>
  <w:style w:type="paragraph" w:customStyle="1" w:styleId="101">
    <w:name w:val="_Style 17"/>
    <w:basedOn w:val="1"/>
    <w:qFormat/>
    <w:uiPriority w:val="99"/>
  </w:style>
  <w:style w:type="paragraph" w:styleId="102">
    <w:name w:val="No Spacing"/>
    <w:qFormat/>
    <w:uiPriority w:val="99"/>
    <w:pPr>
      <w:widowControl w:val="0"/>
      <w:spacing w:line="320" w:lineRule="exact"/>
      <w:jc w:val="both"/>
    </w:pPr>
    <w:rPr>
      <w:rFonts w:ascii="Times New Roman" w:hAnsi="Times New Roman" w:eastAsia="宋体" w:cs="Times New Roman"/>
      <w:kern w:val="2"/>
      <w:sz w:val="21"/>
      <w:szCs w:val="21"/>
      <w:lang w:val="en-US" w:eastAsia="zh-CN" w:bidi="ar-SA"/>
    </w:rPr>
  </w:style>
  <w:style w:type="character" w:customStyle="1" w:styleId="103">
    <w:name w:val="【表格文字】 Char Char"/>
    <w:qFormat/>
    <w:uiPriority w:val="99"/>
    <w:rPr>
      <w:rFonts w:eastAsia="宋体"/>
      <w:kern w:val="2"/>
      <w:sz w:val="24"/>
      <w:szCs w:val="24"/>
      <w:lang w:val="en-US" w:eastAsia="zh-CN"/>
    </w:rPr>
  </w:style>
  <w:style w:type="paragraph" w:customStyle="1" w:styleId="104">
    <w:name w:val="样式3"/>
    <w:basedOn w:val="1"/>
    <w:qFormat/>
    <w:uiPriority w:val="99"/>
    <w:pPr>
      <w:spacing w:line="360" w:lineRule="auto"/>
      <w:ind w:firstLine="200" w:firstLineChars="200"/>
    </w:pPr>
    <w:rPr>
      <w:rFonts w:eastAsia="楷体_GB2312"/>
      <w:sz w:val="28"/>
      <w:szCs w:val="28"/>
    </w:rPr>
  </w:style>
  <w:style w:type="paragraph" w:customStyle="1" w:styleId="10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6">
    <w:name w:val="图表名称"/>
    <w:basedOn w:val="1"/>
    <w:next w:val="1"/>
    <w:link w:val="107"/>
    <w:qFormat/>
    <w:uiPriority w:val="99"/>
    <w:pPr>
      <w:spacing w:beforeLines="50" w:afterLines="50"/>
      <w:jc w:val="center"/>
    </w:pPr>
    <w:rPr>
      <w:rFonts w:ascii="宋体" w:hAnsi="宋体" w:cs="宋体"/>
      <w:b/>
      <w:bCs/>
      <w:kern w:val="0"/>
      <w:lang w:val="zh-CN"/>
    </w:rPr>
  </w:style>
  <w:style w:type="character" w:customStyle="1" w:styleId="107">
    <w:name w:val="图表名称 Char"/>
    <w:link w:val="106"/>
    <w:qFormat/>
    <w:locked/>
    <w:uiPriority w:val="99"/>
    <w:rPr>
      <w:rFonts w:ascii="宋体" w:hAnsi="宋体" w:eastAsia="宋体" w:cs="宋体"/>
      <w:b/>
      <w:bCs/>
      <w:sz w:val="21"/>
      <w:szCs w:val="21"/>
      <w:lang w:val="zh-CN"/>
    </w:rPr>
  </w:style>
  <w:style w:type="paragraph" w:customStyle="1" w:styleId="108">
    <w:name w:val="Table Paragraph"/>
    <w:basedOn w:val="1"/>
    <w:qFormat/>
    <w:uiPriority w:val="99"/>
    <w:pPr>
      <w:widowControl/>
      <w:autoSpaceDE w:val="0"/>
      <w:autoSpaceDN w:val="0"/>
      <w:spacing w:after="200" w:line="276" w:lineRule="auto"/>
      <w:jc w:val="left"/>
    </w:pPr>
    <w:rPr>
      <w:rFonts w:ascii="宋体" w:hAnsi="宋体" w:cs="宋体"/>
      <w:kern w:val="0"/>
      <w:sz w:val="22"/>
      <w:szCs w:val="22"/>
      <w:lang w:val="zh-CN"/>
    </w:rPr>
  </w:style>
  <w:style w:type="paragraph" w:customStyle="1" w:styleId="109">
    <w:name w:val="大标题"/>
    <w:basedOn w:val="1"/>
    <w:link w:val="111"/>
    <w:qFormat/>
    <w:uiPriority w:val="99"/>
    <w:pPr>
      <w:spacing w:beforeLines="50" w:afterLines="50" w:line="360" w:lineRule="auto"/>
      <w:ind w:firstLine="200" w:firstLineChars="200"/>
      <w:jc w:val="center"/>
    </w:pPr>
    <w:rPr>
      <w:rFonts w:eastAsia="黑体"/>
      <w:color w:val="000000"/>
      <w:sz w:val="32"/>
      <w:szCs w:val="32"/>
    </w:rPr>
  </w:style>
  <w:style w:type="paragraph" w:customStyle="1" w:styleId="110">
    <w:name w:val="附件标题"/>
    <w:basedOn w:val="109"/>
    <w:link w:val="113"/>
    <w:qFormat/>
    <w:uiPriority w:val="99"/>
    <w:pPr>
      <w:ind w:firstLine="0" w:firstLineChars="0"/>
      <w:jc w:val="left"/>
      <w:outlineLvl w:val="1"/>
    </w:pPr>
  </w:style>
  <w:style w:type="character" w:customStyle="1" w:styleId="111">
    <w:name w:val="大标题 字符"/>
    <w:link w:val="109"/>
    <w:qFormat/>
    <w:locked/>
    <w:uiPriority w:val="99"/>
    <w:rPr>
      <w:rFonts w:ascii="Times New Roman" w:hAnsi="Times New Roman" w:eastAsia="黑体" w:cs="Times New Roman"/>
      <w:color w:val="000000"/>
      <w:sz w:val="44"/>
      <w:szCs w:val="44"/>
    </w:rPr>
  </w:style>
  <w:style w:type="paragraph" w:customStyle="1" w:styleId="112">
    <w:name w:val="hky5级"/>
    <w:basedOn w:val="1"/>
    <w:link w:val="115"/>
    <w:qFormat/>
    <w:uiPriority w:val="99"/>
    <w:pPr>
      <w:spacing w:line="360" w:lineRule="auto"/>
      <w:ind w:firstLine="200" w:firstLineChars="200"/>
      <w:outlineLvl w:val="4"/>
    </w:pPr>
    <w:rPr>
      <w:kern w:val="0"/>
      <w:sz w:val="24"/>
      <w:szCs w:val="24"/>
    </w:rPr>
  </w:style>
  <w:style w:type="character" w:customStyle="1" w:styleId="113">
    <w:name w:val="附件标题 字符"/>
    <w:link w:val="110"/>
    <w:qFormat/>
    <w:locked/>
    <w:uiPriority w:val="99"/>
    <w:rPr>
      <w:rFonts w:ascii="Times New Roman" w:hAnsi="Times New Roman" w:eastAsia="黑体" w:cs="Times New Roman"/>
      <w:color w:val="000000"/>
      <w:sz w:val="44"/>
      <w:szCs w:val="44"/>
    </w:rPr>
  </w:style>
  <w:style w:type="paragraph" w:customStyle="1" w:styleId="114">
    <w:name w:val="hky6级"/>
    <w:basedOn w:val="112"/>
    <w:link w:val="117"/>
    <w:qFormat/>
    <w:uiPriority w:val="99"/>
    <w:pPr>
      <w:ind w:firstLine="480"/>
      <w:outlineLvl w:val="5"/>
    </w:pPr>
  </w:style>
  <w:style w:type="character" w:customStyle="1" w:styleId="115">
    <w:name w:val="hky5级 字符"/>
    <w:link w:val="112"/>
    <w:qFormat/>
    <w:locked/>
    <w:uiPriority w:val="99"/>
    <w:rPr>
      <w:rFonts w:ascii="Times New Roman" w:hAnsi="Times New Roman" w:eastAsia="宋体" w:cs="Times New Roman"/>
      <w:kern w:val="0"/>
      <w:sz w:val="28"/>
      <w:szCs w:val="28"/>
    </w:rPr>
  </w:style>
  <w:style w:type="paragraph" w:customStyle="1" w:styleId="116">
    <w:name w:val="2级无段后"/>
    <w:basedOn w:val="88"/>
    <w:link w:val="119"/>
    <w:qFormat/>
    <w:uiPriority w:val="99"/>
    <w:pPr>
      <w:spacing w:before="190" w:afterLines="0"/>
    </w:pPr>
  </w:style>
  <w:style w:type="character" w:customStyle="1" w:styleId="117">
    <w:name w:val="hky6级 字符"/>
    <w:link w:val="114"/>
    <w:qFormat/>
    <w:locked/>
    <w:uiPriority w:val="99"/>
    <w:rPr>
      <w:rFonts w:ascii="Times New Roman" w:hAnsi="Times New Roman" w:eastAsia="宋体" w:cs="Times New Roman"/>
      <w:kern w:val="0"/>
      <w:sz w:val="28"/>
      <w:szCs w:val="28"/>
    </w:rPr>
  </w:style>
  <w:style w:type="paragraph" w:customStyle="1" w:styleId="118">
    <w:name w:val="3级无段前"/>
    <w:basedOn w:val="83"/>
    <w:link w:val="121"/>
    <w:qFormat/>
    <w:uiPriority w:val="99"/>
    <w:pPr>
      <w:spacing w:beforeLines="0" w:after="190"/>
    </w:pPr>
  </w:style>
  <w:style w:type="character" w:customStyle="1" w:styleId="119">
    <w:name w:val="2级无段后 字符"/>
    <w:link w:val="116"/>
    <w:qFormat/>
    <w:locked/>
    <w:uiPriority w:val="99"/>
    <w:rPr>
      <w:rFonts w:ascii="Times New Roman" w:hAnsi="Times New Roman" w:eastAsia="宋体" w:cs="Times New Roman"/>
      <w:b/>
      <w:bCs/>
      <w:kern w:val="0"/>
      <w:sz w:val="28"/>
      <w:szCs w:val="28"/>
    </w:rPr>
  </w:style>
  <w:style w:type="paragraph" w:customStyle="1" w:styleId="120">
    <w:name w:val="3级无段后"/>
    <w:basedOn w:val="83"/>
    <w:link w:val="123"/>
    <w:qFormat/>
    <w:uiPriority w:val="99"/>
    <w:pPr>
      <w:spacing w:afterLines="0"/>
    </w:pPr>
  </w:style>
  <w:style w:type="character" w:customStyle="1" w:styleId="121">
    <w:name w:val="3级无段前 字符"/>
    <w:link w:val="118"/>
    <w:qFormat/>
    <w:locked/>
    <w:uiPriority w:val="99"/>
    <w:rPr>
      <w:rFonts w:ascii="Times New Roman" w:hAnsi="Times New Roman" w:eastAsia="宋体" w:cs="Times New Roman"/>
      <w:b/>
      <w:bCs/>
      <w:sz w:val="24"/>
      <w:szCs w:val="24"/>
    </w:rPr>
  </w:style>
  <w:style w:type="paragraph" w:customStyle="1" w:styleId="122">
    <w:name w:val="4级无段前"/>
    <w:basedOn w:val="96"/>
    <w:link w:val="125"/>
    <w:qFormat/>
    <w:uiPriority w:val="99"/>
    <w:pPr>
      <w:spacing w:beforeLines="0" w:after="50"/>
    </w:pPr>
  </w:style>
  <w:style w:type="character" w:customStyle="1" w:styleId="123">
    <w:name w:val="3级无段后 字符"/>
    <w:link w:val="120"/>
    <w:qFormat/>
    <w:locked/>
    <w:uiPriority w:val="99"/>
    <w:rPr>
      <w:rFonts w:ascii="Times New Roman" w:hAnsi="Times New Roman" w:eastAsia="宋体" w:cs="Times New Roman"/>
      <w:b/>
      <w:bCs/>
      <w:sz w:val="24"/>
      <w:szCs w:val="24"/>
    </w:rPr>
  </w:style>
  <w:style w:type="paragraph" w:customStyle="1" w:styleId="124">
    <w:name w:val="4级无段后"/>
    <w:basedOn w:val="96"/>
    <w:link w:val="127"/>
    <w:qFormat/>
    <w:uiPriority w:val="99"/>
    <w:pPr>
      <w:spacing w:before="190" w:afterLines="0"/>
    </w:pPr>
  </w:style>
  <w:style w:type="character" w:customStyle="1" w:styleId="125">
    <w:name w:val="4级无段前 字符"/>
    <w:link w:val="122"/>
    <w:qFormat/>
    <w:locked/>
    <w:uiPriority w:val="99"/>
    <w:rPr>
      <w:rFonts w:ascii="Times New Roman" w:hAnsi="Times New Roman" w:eastAsia="宋体" w:cs="Times New Roman"/>
      <w:b/>
      <w:bCs/>
      <w:sz w:val="24"/>
      <w:szCs w:val="24"/>
    </w:rPr>
  </w:style>
  <w:style w:type="paragraph" w:customStyle="1" w:styleId="126">
    <w:name w:val="修订1"/>
    <w:hidden/>
    <w:semiHidden/>
    <w:qFormat/>
    <w:uiPriority w:val="99"/>
    <w:rPr>
      <w:rFonts w:ascii="Times New Roman" w:hAnsi="Times New Roman" w:eastAsia="宋体" w:cs="Times New Roman"/>
      <w:kern w:val="2"/>
      <w:sz w:val="28"/>
      <w:szCs w:val="28"/>
      <w:lang w:val="en-US" w:eastAsia="zh-CN" w:bidi="ar-SA"/>
    </w:rPr>
  </w:style>
  <w:style w:type="character" w:customStyle="1" w:styleId="127">
    <w:name w:val="4级无段后 字符"/>
    <w:link w:val="124"/>
    <w:qFormat/>
    <w:locked/>
    <w:uiPriority w:val="99"/>
    <w:rPr>
      <w:rFonts w:ascii="Times New Roman" w:hAnsi="Times New Roman" w:eastAsia="宋体" w:cs="Times New Roman"/>
      <w:b/>
      <w:bCs/>
      <w:sz w:val="24"/>
      <w:szCs w:val="24"/>
    </w:rPr>
  </w:style>
  <w:style w:type="character" w:customStyle="1" w:styleId="128">
    <w:name w:val="个人答复风格"/>
    <w:qFormat/>
    <w:uiPriority w:val="99"/>
    <w:rPr>
      <w:rFonts w:ascii="Arial" w:hAnsi="Arial" w:eastAsia="宋体" w:cs="Arial"/>
      <w:color w:val="auto"/>
      <w:sz w:val="20"/>
      <w:szCs w:val="20"/>
    </w:rPr>
  </w:style>
  <w:style w:type="character" w:customStyle="1" w:styleId="129">
    <w:name w:val="个人撰写风格"/>
    <w:qFormat/>
    <w:uiPriority w:val="99"/>
    <w:rPr>
      <w:rFonts w:ascii="Arial" w:hAnsi="Arial" w:eastAsia="宋体" w:cs="Arial"/>
      <w:color w:val="auto"/>
      <w:sz w:val="20"/>
      <w:szCs w:val="20"/>
    </w:rPr>
  </w:style>
  <w:style w:type="character" w:customStyle="1" w:styleId="130">
    <w:name w:val="文档结构图 Char1"/>
    <w:qFormat/>
    <w:uiPriority w:val="99"/>
    <w:rPr>
      <w:rFonts w:ascii="宋体" w:cs="宋体"/>
      <w:kern w:val="2"/>
      <w:sz w:val="18"/>
      <w:szCs w:val="18"/>
    </w:rPr>
  </w:style>
  <w:style w:type="paragraph" w:styleId="131">
    <w:name w:val="Quote"/>
    <w:basedOn w:val="1"/>
    <w:next w:val="1"/>
    <w:link w:val="132"/>
    <w:qFormat/>
    <w:uiPriority w:val="99"/>
    <w:pPr>
      <w:widowControl/>
      <w:spacing w:before="200" w:line="276" w:lineRule="auto"/>
      <w:ind w:left="360" w:right="360"/>
      <w:jc w:val="left"/>
    </w:pPr>
    <w:rPr>
      <w:rFonts w:ascii="Calibri" w:hAnsi="Calibri" w:cs="Calibri"/>
      <w:i/>
      <w:iCs/>
      <w:kern w:val="0"/>
      <w:sz w:val="22"/>
      <w:szCs w:val="22"/>
    </w:rPr>
  </w:style>
  <w:style w:type="character" w:customStyle="1" w:styleId="132">
    <w:name w:val="引用 Char"/>
    <w:link w:val="131"/>
    <w:qFormat/>
    <w:locked/>
    <w:uiPriority w:val="99"/>
    <w:rPr>
      <w:rFonts w:ascii="Calibri" w:hAnsi="Calibri" w:eastAsia="宋体" w:cs="Calibri"/>
      <w:i/>
      <w:iCs/>
      <w:kern w:val="0"/>
      <w:sz w:val="22"/>
      <w:szCs w:val="22"/>
    </w:rPr>
  </w:style>
  <w:style w:type="paragraph" w:styleId="133">
    <w:name w:val="Intense Quote"/>
    <w:basedOn w:val="1"/>
    <w:next w:val="1"/>
    <w:link w:val="134"/>
    <w:qFormat/>
    <w:uiPriority w:val="99"/>
    <w:pPr>
      <w:widowControl/>
      <w:pBdr>
        <w:bottom w:val="single" w:color="auto" w:sz="4" w:space="1"/>
      </w:pBdr>
      <w:spacing w:before="200" w:after="280" w:line="276" w:lineRule="auto"/>
      <w:ind w:left="1008" w:right="1152"/>
    </w:pPr>
    <w:rPr>
      <w:rFonts w:ascii="Calibri" w:hAnsi="Calibri" w:cs="Calibri"/>
      <w:b/>
      <w:bCs/>
      <w:i/>
      <w:iCs/>
      <w:kern w:val="0"/>
      <w:sz w:val="22"/>
      <w:szCs w:val="22"/>
    </w:rPr>
  </w:style>
  <w:style w:type="character" w:customStyle="1" w:styleId="134">
    <w:name w:val="明显引用 Char"/>
    <w:link w:val="133"/>
    <w:qFormat/>
    <w:locked/>
    <w:uiPriority w:val="99"/>
    <w:rPr>
      <w:rFonts w:ascii="Calibri" w:hAnsi="Calibri" w:eastAsia="宋体" w:cs="Calibri"/>
      <w:b/>
      <w:bCs/>
      <w:i/>
      <w:iCs/>
      <w:kern w:val="0"/>
      <w:sz w:val="22"/>
      <w:szCs w:val="22"/>
    </w:rPr>
  </w:style>
  <w:style w:type="character" w:customStyle="1" w:styleId="135">
    <w:name w:val="不明显强调1"/>
    <w:qFormat/>
    <w:uiPriority w:val="99"/>
    <w:rPr>
      <w:i/>
      <w:iCs/>
    </w:rPr>
  </w:style>
  <w:style w:type="character" w:customStyle="1" w:styleId="136">
    <w:name w:val="明显强调1"/>
    <w:qFormat/>
    <w:uiPriority w:val="99"/>
    <w:rPr>
      <w:b/>
      <w:bCs/>
    </w:rPr>
  </w:style>
  <w:style w:type="character" w:customStyle="1" w:styleId="137">
    <w:name w:val="不明显参考1"/>
    <w:qFormat/>
    <w:uiPriority w:val="99"/>
    <w:rPr>
      <w:smallCaps/>
    </w:rPr>
  </w:style>
  <w:style w:type="character" w:customStyle="1" w:styleId="138">
    <w:name w:val="明显参考1"/>
    <w:qFormat/>
    <w:uiPriority w:val="99"/>
    <w:rPr>
      <w:smallCaps/>
      <w:spacing w:val="5"/>
      <w:u w:val="single"/>
    </w:rPr>
  </w:style>
  <w:style w:type="character" w:customStyle="1" w:styleId="139">
    <w:name w:val="书籍标题1"/>
    <w:qFormat/>
    <w:uiPriority w:val="99"/>
    <w:rPr>
      <w:i/>
      <w:iCs/>
      <w:smallCaps/>
      <w:spacing w:val="5"/>
    </w:rPr>
  </w:style>
  <w:style w:type="paragraph" w:customStyle="1" w:styleId="140">
    <w:name w:val="TOC 标题1"/>
    <w:basedOn w:val="3"/>
    <w:next w:val="1"/>
    <w:semiHidden/>
    <w:qFormat/>
    <w:uiPriority w:val="99"/>
    <w:pPr>
      <w:keepNext w:val="0"/>
      <w:keepLines w:val="0"/>
      <w:widowControl/>
      <w:spacing w:before="480" w:after="0" w:line="276" w:lineRule="auto"/>
      <w:jc w:val="left"/>
      <w:outlineLvl w:val="9"/>
    </w:pPr>
    <w:rPr>
      <w:rFonts w:eastAsia="宋体"/>
      <w:b/>
      <w:bCs/>
      <w:kern w:val="0"/>
      <w:sz w:val="28"/>
      <w:szCs w:val="28"/>
    </w:rPr>
  </w:style>
  <w:style w:type="character" w:customStyle="1" w:styleId="141">
    <w:name w:val="正文缩进 Char"/>
    <w:link w:val="13"/>
    <w:qFormat/>
    <w:locked/>
    <w:uiPriority w:val="99"/>
    <w:rPr>
      <w:rFonts w:ascii="Times New Roman" w:hAnsi="Times New Roman" w:eastAsia="宋体" w:cs="Times New Roman"/>
      <w:kern w:val="0"/>
      <w:sz w:val="20"/>
      <w:szCs w:val="20"/>
    </w:rPr>
  </w:style>
  <w:style w:type="character" w:customStyle="1" w:styleId="142">
    <w:name w:val="style3"/>
    <w:basedOn w:val="41"/>
    <w:qFormat/>
    <w:uiPriority w:val="99"/>
  </w:style>
  <w:style w:type="character" w:customStyle="1" w:styleId="143">
    <w:name w:val="11111111111111 Char"/>
    <w:link w:val="144"/>
    <w:qFormat/>
    <w:locked/>
    <w:uiPriority w:val="99"/>
    <w:rPr>
      <w:rFonts w:ascii="宋体" w:eastAsia="宋体" w:cs="宋体"/>
      <w:sz w:val="24"/>
      <w:szCs w:val="24"/>
    </w:rPr>
  </w:style>
  <w:style w:type="paragraph" w:customStyle="1" w:styleId="144">
    <w:name w:val="11111111111111"/>
    <w:basedOn w:val="1"/>
    <w:link w:val="143"/>
    <w:qFormat/>
    <w:uiPriority w:val="99"/>
    <w:pPr>
      <w:spacing w:line="560" w:lineRule="exact"/>
      <w:ind w:firstLine="480" w:firstLineChars="200"/>
    </w:pPr>
    <w:rPr>
      <w:rFonts w:ascii="宋体" w:hAnsi="Calibri" w:cs="宋体"/>
      <w:kern w:val="0"/>
      <w:sz w:val="24"/>
      <w:szCs w:val="24"/>
    </w:rPr>
  </w:style>
  <w:style w:type="character" w:customStyle="1" w:styleId="145">
    <w:name w:val="普通(网站) Char"/>
    <w:link w:val="35"/>
    <w:qFormat/>
    <w:locked/>
    <w:uiPriority w:val="99"/>
    <w:rPr>
      <w:rFonts w:ascii="Times New Roman" w:hAnsi="Times New Roman" w:eastAsia="宋体" w:cs="Times New Roman"/>
      <w:kern w:val="0"/>
      <w:sz w:val="24"/>
      <w:szCs w:val="24"/>
    </w:rPr>
  </w:style>
  <w:style w:type="table" w:customStyle="1" w:styleId="146">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7">
    <w:name w:val="hky目录标题"/>
    <w:basedOn w:val="1"/>
    <w:link w:val="148"/>
    <w:qFormat/>
    <w:uiPriority w:val="99"/>
    <w:pPr>
      <w:widowControl/>
      <w:spacing w:beforeLines="50" w:afterLines="50" w:line="360" w:lineRule="auto"/>
      <w:jc w:val="center"/>
    </w:pPr>
    <w:rPr>
      <w:rFonts w:ascii="黑体" w:hAnsi="黑体" w:eastAsia="黑体" w:cs="黑体"/>
      <w:sz w:val="32"/>
      <w:szCs w:val="32"/>
    </w:rPr>
  </w:style>
  <w:style w:type="character" w:customStyle="1" w:styleId="148">
    <w:name w:val="hky目录标题 字符"/>
    <w:link w:val="147"/>
    <w:qFormat/>
    <w:locked/>
    <w:uiPriority w:val="99"/>
    <w:rPr>
      <w:rFonts w:ascii="黑体" w:hAnsi="黑体" w:eastAsia="黑体" w:cs="黑体"/>
      <w:sz w:val="21"/>
      <w:szCs w:val="21"/>
    </w:rPr>
  </w:style>
  <w:style w:type="character" w:customStyle="1" w:styleId="149">
    <w:name w:val="未处理的提及2"/>
    <w:semiHidden/>
    <w:qFormat/>
    <w:uiPriority w:val="99"/>
    <w:rPr>
      <w:color w:val="auto"/>
      <w:shd w:val="clear" w:color="auto" w:fill="auto"/>
    </w:rPr>
  </w:style>
  <w:style w:type="paragraph" w:customStyle="1" w:styleId="150">
    <w:name w:val="hky目录内容格式"/>
    <w:basedOn w:val="32"/>
    <w:link w:val="153"/>
    <w:qFormat/>
    <w:uiPriority w:val="99"/>
    <w:pPr>
      <w:tabs>
        <w:tab w:val="right" w:leader="dot" w:pos="8494"/>
      </w:tabs>
      <w:spacing w:before="50" w:after="50" w:line="360" w:lineRule="auto"/>
      <w:ind w:left="0"/>
    </w:pPr>
    <w:rPr>
      <w:rFonts w:ascii="Times" w:hAnsi="Times" w:eastAsia="宋体" w:cs="Times"/>
      <w:sz w:val="28"/>
      <w:szCs w:val="28"/>
    </w:rPr>
  </w:style>
  <w:style w:type="paragraph" w:customStyle="1" w:styleId="151">
    <w:name w:val="TOC 标题2"/>
    <w:basedOn w:val="3"/>
    <w:next w:val="1"/>
    <w:qFormat/>
    <w:uiPriority w:val="99"/>
    <w:pPr>
      <w:widowControl/>
      <w:spacing w:before="240" w:after="0" w:line="259" w:lineRule="auto"/>
      <w:jc w:val="left"/>
      <w:outlineLvl w:val="9"/>
    </w:pPr>
    <w:rPr>
      <w:rFonts w:eastAsia="宋体"/>
      <w:color w:val="365F91"/>
      <w:kern w:val="0"/>
    </w:rPr>
  </w:style>
  <w:style w:type="character" w:customStyle="1" w:styleId="152">
    <w:name w:val="目录 2 Char"/>
    <w:link w:val="32"/>
    <w:qFormat/>
    <w:locked/>
    <w:uiPriority w:val="99"/>
    <w:rPr>
      <w:rFonts w:ascii="Calibri" w:hAnsi="Calibri" w:eastAsia="黑体" w:cs="Calibri"/>
      <w:smallCaps/>
      <w:kern w:val="0"/>
      <w:sz w:val="20"/>
      <w:szCs w:val="20"/>
    </w:rPr>
  </w:style>
  <w:style w:type="character" w:customStyle="1" w:styleId="153">
    <w:name w:val="hky目录内容格式 字符"/>
    <w:link w:val="150"/>
    <w:qFormat/>
    <w:locked/>
    <w:uiPriority w:val="99"/>
    <w:rPr>
      <w:rFonts w:ascii="Times" w:hAnsi="Times" w:eastAsia="宋体" w:cs="Times"/>
      <w:smallCaps/>
      <w:kern w:val="0"/>
      <w:sz w:val="20"/>
      <w:szCs w:val="20"/>
    </w:rPr>
  </w:style>
  <w:style w:type="paragraph" w:customStyle="1" w:styleId="154">
    <w:name w:val="TOC 标题3"/>
    <w:basedOn w:val="3"/>
    <w:next w:val="1"/>
    <w:semiHidden/>
    <w:qFormat/>
    <w:uiPriority w:val="99"/>
    <w:pPr>
      <w:widowControl/>
      <w:spacing w:before="480" w:after="0" w:line="276" w:lineRule="auto"/>
      <w:jc w:val="left"/>
      <w:outlineLvl w:val="9"/>
    </w:pPr>
    <w:rPr>
      <w:rFonts w:eastAsia="宋体"/>
      <w:b/>
      <w:bCs/>
      <w:color w:val="365F91"/>
      <w:kern w:val="0"/>
      <w:sz w:val="28"/>
      <w:szCs w:val="28"/>
    </w:r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cs="Calibri"/>
      <w:kern w:val="0"/>
      <w:sz w:val="22"/>
      <w:szCs w:val="22"/>
    </w:rPr>
  </w:style>
  <w:style w:type="character" w:customStyle="1" w:styleId="156">
    <w:name w:val="不明显强调2"/>
    <w:qFormat/>
    <w:uiPriority w:val="99"/>
    <w:rPr>
      <w:i/>
      <w:iCs/>
      <w:color w:val="7F7F7F"/>
    </w:rPr>
  </w:style>
  <w:style w:type="paragraph" w:customStyle="1" w:styleId="157">
    <w:name w:val="样式 环评文本 + 自动设置"/>
    <w:basedOn w:val="1"/>
    <w:qFormat/>
    <w:uiPriority w:val="99"/>
    <w:pPr>
      <w:adjustRightInd w:val="0"/>
      <w:snapToGrid w:val="0"/>
      <w:spacing w:line="360" w:lineRule="auto"/>
      <w:ind w:firstLine="480" w:firstLineChars="200"/>
    </w:pPr>
    <w:rPr>
      <w:sz w:val="24"/>
      <w:szCs w:val="24"/>
    </w:rPr>
  </w:style>
  <w:style w:type="paragraph" w:customStyle="1" w:styleId="158">
    <w:name w:val="样式 表头图头 + 自动设置"/>
    <w:basedOn w:val="1"/>
    <w:link w:val="160"/>
    <w:qFormat/>
    <w:uiPriority w:val="99"/>
    <w:pPr>
      <w:keepLines/>
      <w:widowControl/>
      <w:adjustRightInd w:val="0"/>
      <w:snapToGrid w:val="0"/>
      <w:spacing w:beforeLines="50"/>
      <w:jc w:val="center"/>
      <w:outlineLvl w:val="3"/>
    </w:pPr>
    <w:rPr>
      <w:b/>
      <w:bCs/>
      <w:color w:val="000000"/>
      <w:sz w:val="24"/>
      <w:szCs w:val="24"/>
    </w:rPr>
  </w:style>
  <w:style w:type="paragraph" w:customStyle="1" w:styleId="159">
    <w:name w:val="样式 居中"/>
    <w:basedOn w:val="1"/>
    <w:qFormat/>
    <w:uiPriority w:val="99"/>
    <w:pPr>
      <w:jc w:val="center"/>
    </w:pPr>
  </w:style>
  <w:style w:type="character" w:customStyle="1" w:styleId="160">
    <w:name w:val="样式 表头图头 + 自动设置 Char"/>
    <w:link w:val="158"/>
    <w:qFormat/>
    <w:locked/>
    <w:uiPriority w:val="99"/>
    <w:rPr>
      <w:rFonts w:ascii="Times New Roman" w:hAnsi="Times New Roman" w:eastAsia="宋体" w:cs="Times New Roman"/>
      <w:b/>
      <w:bCs/>
      <w:color w:val="000000"/>
      <w:sz w:val="24"/>
      <w:szCs w:val="24"/>
    </w:rPr>
  </w:style>
  <w:style w:type="character" w:customStyle="1" w:styleId="161">
    <w:name w:val="font21"/>
    <w:qFormat/>
    <w:uiPriority w:val="99"/>
    <w:rPr>
      <w:rFonts w:ascii="Times New Roman" w:hAnsi="Times New Roman" w:cs="Times New Roman"/>
      <w:color w:val="000000"/>
      <w:sz w:val="21"/>
      <w:szCs w:val="21"/>
      <w:u w:val="none"/>
    </w:rPr>
  </w:style>
  <w:style w:type="character" w:customStyle="1" w:styleId="162">
    <w:name w:val="font11"/>
    <w:qFormat/>
    <w:uiPriority w:val="99"/>
    <w:rPr>
      <w:rFonts w:ascii="Times New Roman" w:hAnsi="Times New Roman" w:cs="Times New Roman"/>
      <w:color w:val="000000"/>
      <w:sz w:val="21"/>
      <w:szCs w:val="21"/>
      <w:u w:val="none"/>
      <w:vertAlign w:val="superscript"/>
    </w:rPr>
  </w:style>
  <w:style w:type="character" w:customStyle="1" w:styleId="163">
    <w:name w:val="font01"/>
    <w:qFormat/>
    <w:uiPriority w:val="99"/>
    <w:rPr>
      <w:rFonts w:ascii="宋体" w:hAnsi="宋体" w:eastAsia="宋体" w:cs="宋体"/>
      <w:color w:val="000000"/>
      <w:sz w:val="21"/>
      <w:szCs w:val="21"/>
      <w:u w:val="none"/>
      <w:vertAlign w:val="superscript"/>
    </w:rPr>
  </w:style>
  <w:style w:type="paragraph" w:customStyle="1" w:styleId="164">
    <w:name w:val="环评文本"/>
    <w:basedOn w:val="1"/>
    <w:qFormat/>
    <w:uiPriority w:val="99"/>
    <w:pPr>
      <w:spacing w:line="360" w:lineRule="auto"/>
      <w:ind w:firstLine="480" w:firstLineChars="200"/>
    </w:pPr>
    <w:rPr>
      <w:color w:val="0000FF"/>
      <w:sz w:val="24"/>
      <w:szCs w:val="24"/>
    </w:rPr>
  </w:style>
  <w:style w:type="paragraph" w:customStyle="1" w:styleId="165">
    <w:name w:val="修订2"/>
    <w:hidden/>
    <w:semiHidden/>
    <w:qFormat/>
    <w:uiPriority w:val="99"/>
    <w:rPr>
      <w:rFonts w:ascii="Times New Roman" w:hAnsi="Times New Roman" w:eastAsia="宋体" w:cs="Times New Roman"/>
      <w:kern w:val="2"/>
      <w:sz w:val="21"/>
      <w:szCs w:val="21"/>
      <w:lang w:val="en-US" w:eastAsia="zh-CN" w:bidi="ar-SA"/>
    </w:rPr>
  </w:style>
  <w:style w:type="character" w:customStyle="1" w:styleId="166">
    <w:name w:val="不明显强调3"/>
    <w:qFormat/>
    <w:uiPriority w:val="19"/>
    <w:rPr>
      <w:i/>
      <w:iCs/>
      <w:color w:val="000000"/>
    </w:rPr>
  </w:style>
  <w:style w:type="paragraph" w:customStyle="1" w:styleId="167">
    <w:name w:val="无间隔1"/>
    <w:qFormat/>
    <w:uiPriority w:val="0"/>
    <w:pPr>
      <w:widowControl w:val="0"/>
      <w:snapToGrid w:val="0"/>
      <w:jc w:val="center"/>
    </w:pPr>
    <w:rPr>
      <w:rFonts w:ascii="Arial" w:hAnsi="Arial" w:eastAsia="华文楷体" w:cs="Times New Roman"/>
      <w:sz w:val="24"/>
      <w:szCs w:val="22"/>
      <w:lang w:val="en-US" w:eastAsia="zh-CN" w:bidi="ar-SA"/>
    </w:rPr>
  </w:style>
  <w:style w:type="paragraph" w:customStyle="1" w:styleId="168">
    <w:name w:val="表标题"/>
    <w:basedOn w:val="1"/>
    <w:qFormat/>
    <w:uiPriority w:val="0"/>
    <w:pPr>
      <w:suppressAutoHyphens/>
      <w:topLinePunct/>
      <w:spacing w:line="360" w:lineRule="auto"/>
      <w:jc w:val="center"/>
    </w:pPr>
    <w:rPr>
      <w:rFonts w:eastAsia="黑体"/>
      <w:b/>
      <w:kern w:val="0"/>
      <w:sz w:val="20"/>
    </w:rPr>
  </w:style>
  <w:style w:type="paragraph" w:customStyle="1" w:styleId="169">
    <w:name w:val="表格文字"/>
    <w:qFormat/>
    <w:uiPriority w:val="0"/>
    <w:pPr>
      <w:widowControl w:val="0"/>
      <w:autoSpaceDE w:val="0"/>
      <w:autoSpaceDN w:val="0"/>
      <w:adjustRightInd w:val="0"/>
      <w:jc w:val="center"/>
      <w:textAlignment w:val="baseline"/>
    </w:pPr>
    <w:rPr>
      <w:rFonts w:ascii="宋体" w:hAnsi="宋体" w:eastAsia="宋体" w:cs="Times New Roman"/>
      <w:color w:val="000000"/>
      <w:sz w:val="21"/>
      <w:lang w:val="en-US" w:eastAsia="zh-CN" w:bidi="ar-SA"/>
    </w:rPr>
  </w:style>
  <w:style w:type="paragraph" w:customStyle="1" w:styleId="17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9BB9B-B425-4FC3-A6D9-8F9403296CB4}">
  <ds:schemaRefs/>
</ds:datastoreItem>
</file>

<file path=docProps/app.xml><?xml version="1.0" encoding="utf-8"?>
<Properties xmlns="http://schemas.openxmlformats.org/officeDocument/2006/extended-properties" xmlns:vt="http://schemas.openxmlformats.org/officeDocument/2006/docPropsVTypes">
  <Template>Normal</Template>
  <Company>eic</Company>
  <Pages>64</Pages>
  <Words>25719</Words>
  <Characters>27408</Characters>
  <Lines>285</Lines>
  <Paragraphs>80</Paragraphs>
  <TotalTime>30</TotalTime>
  <ScaleCrop>false</ScaleCrop>
  <LinksUpToDate>false</LinksUpToDate>
  <CharactersWithSpaces>28009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2019-07-26T03:17:00Z</dcterms:created>
  <dc:creator>赵文琳</dc:creator>
  <cp:lastModifiedBy>DZZW03</cp:lastModifiedBy>
  <cp:lastPrinted>2020-01-03T08:17:00Z</cp:lastPrinted>
  <dcterms:modified xsi:type="dcterms:W3CDTF">2023-09-27T08:04:35Z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1F8C3432F8F34772B41B6268458F3F44_12</vt:lpwstr>
  </property>
</Properties>
</file>