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ind w:left="624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房屋建筑工程招标控制价编制说明</w:t>
      </w:r>
    </w:p>
    <w:p>
      <w:pPr>
        <w:spacing w:line="560" w:lineRule="exact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工程名称（全称）：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西大门（临时）</w:t>
      </w:r>
    </w:p>
    <w:tbl>
      <w:tblPr>
        <w:tblStyle w:val="6"/>
        <w:tblW w:w="0" w:type="auto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5" w:hRule="atLeast"/>
        </w:trPr>
        <w:tc>
          <w:tcPr>
            <w:tcW w:w="9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一、工程概况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1.建设地点：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  <w:t>莆田市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2.工程专业：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lang w:eastAsia="zh-CN"/>
              </w:rPr>
              <w:t>房屋建筑与装饰工程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3.合同工期：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/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工程质量等级：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none"/>
              </w:rPr>
              <w:t>合格工程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4.招标范围：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eastAsia="zh-CN"/>
              </w:rPr>
              <w:t>以图纸为准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单独发包的专业工程：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5.工程特征：</w:t>
            </w:r>
          </w:p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 xml:space="preserve">  建筑面积：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72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4"/>
                <w:szCs w:val="24"/>
              </w:rPr>
              <w:t xml:space="preserve">  层数：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，</w:t>
            </w:r>
            <w:r>
              <w:rPr>
                <w:rFonts w:hint="eastAsia" w:ascii="仿宋_GB2312" w:hAnsi="宋体" w:eastAsia="仿宋_GB2312"/>
                <w:bCs/>
                <w:spacing w:val="-2"/>
                <w:sz w:val="24"/>
                <w:szCs w:val="24"/>
              </w:rPr>
              <w:t>檐口高度：</w:t>
            </w:r>
            <w:r>
              <w:rPr>
                <w:rFonts w:hint="eastAsia" w:ascii="仿宋_GB2312" w:hAnsi="宋体" w:eastAsia="仿宋_GB2312"/>
                <w:bCs/>
                <w:spacing w:val="-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/ </w:t>
            </w:r>
          </w:p>
          <w:p>
            <w:pPr>
              <w:keepNext w:val="0"/>
              <w:keepLines w:val="0"/>
              <w:pageBreakBefore w:val="0"/>
              <w:tabs>
                <w:tab w:val="left" w:pos="968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708" w:firstLineChars="3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4"/>
                <w:szCs w:val="24"/>
              </w:rPr>
              <w:t>结构质式：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/      </w:t>
            </w:r>
          </w:p>
          <w:p>
            <w:pPr>
              <w:keepNext w:val="0"/>
              <w:keepLines w:val="0"/>
              <w:pageBreakBefore w:val="0"/>
              <w:tabs>
                <w:tab w:val="left" w:pos="968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708" w:firstLineChars="3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-2"/>
                <w:sz w:val="24"/>
                <w:szCs w:val="24"/>
              </w:rPr>
              <w:t>基础类型：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/      </w:t>
            </w:r>
          </w:p>
          <w:p>
            <w:pPr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Cs/>
                <w:sz w:val="24"/>
                <w:szCs w:val="24"/>
              </w:rPr>
              <w:t xml:space="preserve">  装饰情况：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Arial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968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720" w:firstLineChars="3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Cs/>
                <w:sz w:val="24"/>
                <w:szCs w:val="24"/>
              </w:rPr>
              <w:t>混凝土情况：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二、编制范围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按照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设计的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eastAsia="zh-CN"/>
              </w:rPr>
              <w:t>西大门（临时）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图纸，专业范围包括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，具体如下：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不含三通一平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三、编制依据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1.图纸：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 xml:space="preserve"> /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设计的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eastAsia="zh-CN"/>
              </w:rPr>
              <w:t>西大门（临时）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图纸及有关设计文件。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2.招标文件：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/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编制的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招标文件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，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其中，招标控制价中与现行计价规定不一致的内容：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地质勘察报告：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/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4.计价计量规范：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《建设工程工程量清单计价规范》（GB50500-2013）和各专业工程工程量计算规范《房屋建筑与装饰工程工程量计算规范》(GB50854-2013)福建省实施细则、《构筑物工程工程量计算规范》（GB50860-2013）福建省实施细则、《通用安装工程工程量计算规范》（GB50856-2013)福建省实施细则、《市政工程工程量计算规范》（GB50855-2013）福建省实施细则、《园林绿化工程工程量计算规范》（GB50858-2013）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5.预算定额：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>《福建省房屋建筑与装饰工程预算定额》(FJYD-101-207)、《福建省构筑物工程预算定额》(FJYD-102-2017)、《福建省装配式建筑工程预算定额》(FJYD-103-2017)、《福建省混凝土、砂浆等半成品配合比》(2017版)、《福建省通用安装工程预算定额》(FJYD-301-2017～FJYD-311-2017)、《福建省市政工程预算定额》(FJYD-401-2017～FJYD-409-2017)、《福建省园林绿化工程预算定额》(FJYD-501-2017)及现行补充或调整文件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6.费用定额：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>《福建省建筑安装工程费用定额》（2017版）及现行补充调整文件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。其中，暂列金额：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/ 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专业工程暂估价：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/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甲供材料费：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/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7.人材机价格：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（1）人工费指数：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根据莆田市住房和城乡建设局关于发布，莆田市建设工程人工费动态指数调整为1.1965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（2）施工机械台班单价：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按照福建省住房和城乡建设厅关于颁发《福建省房屋建筑和市政基础设施工程施工机械台班费用定额》（2021版）的通知，闽建筑[2022]1号文配合《福建省2019年3季度机械台班》执行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（3）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材料设备价格：福建省建设工程工料机信息网202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月份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  <w:lang w:eastAsia="zh-CN"/>
              </w:rPr>
              <w:t>下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>半月莆田市信息价、定额基期价格、市场询价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8、其他：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/ 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四、取费标准</w:t>
            </w:r>
          </w:p>
          <w:p>
            <w:pPr>
              <w:keepNext w:val="0"/>
              <w:keepLines w:val="0"/>
              <w:pageBreakBefore w:val="0"/>
              <w:tabs>
                <w:tab w:val="left" w:pos="432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1.专业类别：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eastAsia="zh-CN"/>
              </w:rPr>
              <w:t>房屋建筑与装饰工程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tabs>
                <w:tab w:val="left" w:pos="432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2.总承包服务费费率：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/ </w:t>
            </w:r>
          </w:p>
          <w:p>
            <w:pPr>
              <w:keepNext w:val="0"/>
              <w:keepLines w:val="0"/>
              <w:pageBreakBefore w:val="0"/>
              <w:tabs>
                <w:tab w:val="left" w:pos="432"/>
              </w:tabs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3.税率：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9%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五、施工方法与措施（仅供投标人参考，投标人自行确定方案，自主报价）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1.土方工程：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/  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2.桩基工程：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/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3.混凝土模板及支架：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/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4.脚手架：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5.施工排水、降水：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/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6.垂直运输：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7.大型机械设备进出场及安拆：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/  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；大型机械设备基础：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/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；大型机械设备检测：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/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8.基坑支护工程拆除：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/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9.材料二次搬运：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10.其他：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  /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六、材料设备品牌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0" w:firstLineChars="20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1、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招标人要求的主要材料设备品牌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及本控制价取定情况见下表</w:t>
            </w:r>
          </w:p>
          <w:tbl>
            <w:tblPr>
              <w:tblStyle w:val="6"/>
              <w:tblW w:w="0" w:type="auto"/>
              <w:tblInd w:w="3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26"/>
              <w:gridCol w:w="2835"/>
              <w:gridCol w:w="2268"/>
              <w:gridCol w:w="12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2126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83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  <w:t>品牌范围</w:t>
                  </w:r>
                </w:p>
              </w:tc>
              <w:tc>
                <w:tcPr>
                  <w:tcW w:w="2268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  <w:t>控制价取定品牌</w:t>
                  </w: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sz w:val="24"/>
                      <w:szCs w:val="2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5" w:hRule="atLeast"/>
              </w:trPr>
              <w:tc>
                <w:tcPr>
                  <w:tcW w:w="2126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268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</w:trPr>
              <w:tc>
                <w:tcPr>
                  <w:tcW w:w="2126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268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</w:trPr>
              <w:tc>
                <w:tcPr>
                  <w:tcW w:w="2126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ind w:firstLine="280" w:firstLineChars="100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268" w:type="dxa"/>
                  <w:noWrap w:val="0"/>
                  <w:vAlign w:val="center"/>
                </w:tcPr>
                <w:p>
                  <w:pPr>
                    <w:wordWrap w:val="0"/>
                    <w:spacing w:line="3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</w:trPr>
              <w:tc>
                <w:tcPr>
                  <w:tcW w:w="2126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83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default" w:ascii="仿宋_GB2312" w:hAnsi="宋体" w:eastAsia="仿宋_GB2312"/>
                      <w:bCs/>
                      <w:sz w:val="28"/>
                      <w:szCs w:val="28"/>
                      <w:lang w:val="en-US" w:eastAsia="zh-CN"/>
                    </w:rPr>
                  </w:pPr>
                </w:p>
              </w:tc>
              <w:tc>
                <w:tcPr>
                  <w:tcW w:w="2268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注：招标人要求的品牌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应与招标工程量清单主要材料设备参考品牌明细表一致。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七、甲供材料一览表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甲供材料一览表</w:t>
            </w:r>
          </w:p>
          <w:tbl>
            <w:tblPr>
              <w:tblStyle w:val="6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2"/>
              <w:gridCol w:w="1762"/>
              <w:gridCol w:w="1660"/>
              <w:gridCol w:w="1090"/>
              <w:gridCol w:w="1450"/>
              <w:gridCol w:w="12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11" w:hRule="atLeast"/>
                <w:jc w:val="center"/>
              </w:trPr>
              <w:tc>
                <w:tcPr>
                  <w:tcW w:w="822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762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166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规格、型号</w:t>
                  </w:r>
                </w:p>
              </w:tc>
              <w:tc>
                <w:tcPr>
                  <w:tcW w:w="109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品牌</w:t>
                  </w:r>
                </w:p>
              </w:tc>
              <w:tc>
                <w:tcPr>
                  <w:tcW w:w="145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含税单价（元）</w:t>
                  </w:r>
                </w:p>
              </w:tc>
              <w:tc>
                <w:tcPr>
                  <w:tcW w:w="125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3" w:hRule="atLeast"/>
                <w:jc w:val="center"/>
              </w:trPr>
              <w:tc>
                <w:tcPr>
                  <w:tcW w:w="822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62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660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090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450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jc w:val="left"/>
                    <w:textAlignment w:val="auto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50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仿宋" w:eastAsia="仿宋_GB2312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注：甲供材料一览表的内容与招标工程量清单一致。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八、招标控制价中采用市场询价的材料设备：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left="4080" w:leftChars="240" w:hanging="3600" w:hangingChars="1500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九、本项目补充的工程量清单</w:t>
            </w:r>
          </w:p>
          <w:tbl>
            <w:tblPr>
              <w:tblStyle w:val="6"/>
              <w:tblW w:w="0" w:type="auto"/>
              <w:tblInd w:w="19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49"/>
              <w:gridCol w:w="1278"/>
              <w:gridCol w:w="1440"/>
              <w:gridCol w:w="1428"/>
              <w:gridCol w:w="741"/>
              <w:gridCol w:w="1482"/>
              <w:gridCol w:w="135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2" w:hRule="atLeast"/>
              </w:trPr>
              <w:tc>
                <w:tcPr>
                  <w:tcW w:w="74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278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项目编码</w:t>
                  </w:r>
                </w:p>
              </w:tc>
              <w:tc>
                <w:tcPr>
                  <w:tcW w:w="1440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项目名称</w:t>
                  </w:r>
                </w:p>
              </w:tc>
              <w:tc>
                <w:tcPr>
                  <w:tcW w:w="1428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项目特征</w:t>
                  </w:r>
                </w:p>
              </w:tc>
              <w:tc>
                <w:tcPr>
                  <w:tcW w:w="741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计量单位</w:t>
                  </w:r>
                </w:p>
              </w:tc>
              <w:tc>
                <w:tcPr>
                  <w:tcW w:w="1482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工程量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计算规则</w:t>
                  </w:r>
                </w:p>
              </w:tc>
              <w:tc>
                <w:tcPr>
                  <w:tcW w:w="135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</w:trPr>
              <w:tc>
                <w:tcPr>
                  <w:tcW w:w="74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8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40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41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82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5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 w:val="0"/>
                    <w:snapToGrid/>
                    <w:spacing w:line="460" w:lineRule="exact"/>
                    <w:ind w:firstLine="560" w:firstLineChars="200"/>
                    <w:rPr>
                      <w:rFonts w:ascii="仿宋_GB2312" w:hAnsi="宋体" w:eastAsia="仿宋_GB2312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562" w:firstLineChars="200"/>
              <w:rPr>
                <w:rFonts w:hint="eastAsia" w:ascii="仿宋_GB2312" w:hAnsi="仿宋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十、其他需要的说明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1、经设计确认，围墙按2-2断面考虑计入预算</w:t>
            </w:r>
            <w:r>
              <w:rPr>
                <w:rFonts w:hint="eastAsia" w:ascii="仿宋_GB2312" w:hAnsi="宋体" w:eastAsia="仿宋_GB2312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2、经设计确认，入口走廊按混凝土地面计入，无面层。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3、经设计确认，铝合金伸缩门按下图款式计入预算。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4、围墙涂料装饰做法按9mm厚1:3水泥砂浆+6mm厚1:2.5水泥砂浆；腻子两遍；真石漆。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5、围墙复合材料装饰做法按9mm厚1:3水泥砂浆+6mm厚1:2.5水泥砂浆；400*600mcm改性无机粉饰面片材。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6、围墙成品中式路灯不计入本次预算。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7、屋面保温层按</w:t>
            </w:r>
            <w:r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25厚屋面挤塑板</w:t>
            </w: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计入。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8、热水器不计入本次编制范围。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  <w:t>9、弱电箱内置6口千兆交换机不计入本次编制范围。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ind w:firstLine="480" w:firstLineChars="200"/>
              <w:rPr>
                <w:rFonts w:hint="default" w:ascii="仿宋_GB2312" w:hAnsi="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</w:tbl>
    <w:p>
      <w:r>
        <w:drawing>
          <wp:inline distT="0" distB="0" distL="114300" distR="114300">
            <wp:extent cx="4511040" cy="4103370"/>
            <wp:effectExtent l="0" t="0" r="3810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4103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MjRiMTZlOGRjNjkzMzhkMTk1M2M4ZGQ3ODJkYjUifQ=="/>
  </w:docVars>
  <w:rsids>
    <w:rsidRoot w:val="00172A27"/>
    <w:rsid w:val="00052081"/>
    <w:rsid w:val="00083481"/>
    <w:rsid w:val="000E6B46"/>
    <w:rsid w:val="001002EC"/>
    <w:rsid w:val="00172A27"/>
    <w:rsid w:val="00184C6F"/>
    <w:rsid w:val="001E5108"/>
    <w:rsid w:val="00282F58"/>
    <w:rsid w:val="00391F59"/>
    <w:rsid w:val="004523AC"/>
    <w:rsid w:val="00465E9E"/>
    <w:rsid w:val="004672B9"/>
    <w:rsid w:val="00685C68"/>
    <w:rsid w:val="00782F3A"/>
    <w:rsid w:val="00813BDB"/>
    <w:rsid w:val="00830EEB"/>
    <w:rsid w:val="0089346E"/>
    <w:rsid w:val="00A2272C"/>
    <w:rsid w:val="00AC4FF4"/>
    <w:rsid w:val="00B514DE"/>
    <w:rsid w:val="00C9066E"/>
    <w:rsid w:val="00CC51E1"/>
    <w:rsid w:val="00CD7310"/>
    <w:rsid w:val="00DD7BF6"/>
    <w:rsid w:val="01675739"/>
    <w:rsid w:val="016F7099"/>
    <w:rsid w:val="01922103"/>
    <w:rsid w:val="01A7022B"/>
    <w:rsid w:val="01B85D9A"/>
    <w:rsid w:val="026E0D49"/>
    <w:rsid w:val="02BE3A7E"/>
    <w:rsid w:val="038E3890"/>
    <w:rsid w:val="0417345C"/>
    <w:rsid w:val="045C354F"/>
    <w:rsid w:val="04E946B7"/>
    <w:rsid w:val="050B287F"/>
    <w:rsid w:val="06732DD2"/>
    <w:rsid w:val="06A41191"/>
    <w:rsid w:val="078E1545"/>
    <w:rsid w:val="07C136C9"/>
    <w:rsid w:val="07EC2E3C"/>
    <w:rsid w:val="07EF6488"/>
    <w:rsid w:val="082C3E90"/>
    <w:rsid w:val="085C3EA8"/>
    <w:rsid w:val="08BA0844"/>
    <w:rsid w:val="09646A02"/>
    <w:rsid w:val="09774E16"/>
    <w:rsid w:val="09D41DD9"/>
    <w:rsid w:val="09EB2C7F"/>
    <w:rsid w:val="0A233FFF"/>
    <w:rsid w:val="0A5A0170"/>
    <w:rsid w:val="0AE4604C"/>
    <w:rsid w:val="0AF572FF"/>
    <w:rsid w:val="0B472137"/>
    <w:rsid w:val="0BA07952"/>
    <w:rsid w:val="0C41127C"/>
    <w:rsid w:val="0C7927C4"/>
    <w:rsid w:val="0CE73BD2"/>
    <w:rsid w:val="0D1349C7"/>
    <w:rsid w:val="0D3D703C"/>
    <w:rsid w:val="0D5F7C0C"/>
    <w:rsid w:val="0D721847"/>
    <w:rsid w:val="0DA83DDB"/>
    <w:rsid w:val="0E67321C"/>
    <w:rsid w:val="0E7A5AAC"/>
    <w:rsid w:val="0F072309"/>
    <w:rsid w:val="0F323CAA"/>
    <w:rsid w:val="0F7C2CF7"/>
    <w:rsid w:val="0FC24482"/>
    <w:rsid w:val="10150A56"/>
    <w:rsid w:val="10192451"/>
    <w:rsid w:val="11511F61"/>
    <w:rsid w:val="11EC3A38"/>
    <w:rsid w:val="11EE5A02"/>
    <w:rsid w:val="11EF6F36"/>
    <w:rsid w:val="12D70244"/>
    <w:rsid w:val="13405DEA"/>
    <w:rsid w:val="13530882"/>
    <w:rsid w:val="14404A58"/>
    <w:rsid w:val="147541B9"/>
    <w:rsid w:val="14861F22"/>
    <w:rsid w:val="149E726C"/>
    <w:rsid w:val="14A405FA"/>
    <w:rsid w:val="14AF1479"/>
    <w:rsid w:val="15063063"/>
    <w:rsid w:val="154C6CC8"/>
    <w:rsid w:val="157224A6"/>
    <w:rsid w:val="158A77F0"/>
    <w:rsid w:val="15F829AC"/>
    <w:rsid w:val="16314110"/>
    <w:rsid w:val="165A3666"/>
    <w:rsid w:val="165E3157"/>
    <w:rsid w:val="167C538B"/>
    <w:rsid w:val="16826719"/>
    <w:rsid w:val="16AD3796"/>
    <w:rsid w:val="16C46D32"/>
    <w:rsid w:val="16D03928"/>
    <w:rsid w:val="18057652"/>
    <w:rsid w:val="192D0D1F"/>
    <w:rsid w:val="197E58BE"/>
    <w:rsid w:val="19FE255B"/>
    <w:rsid w:val="1A116101"/>
    <w:rsid w:val="1A952EBF"/>
    <w:rsid w:val="1AF916A0"/>
    <w:rsid w:val="1B291030"/>
    <w:rsid w:val="1B2D30F7"/>
    <w:rsid w:val="1B590390"/>
    <w:rsid w:val="1B742AD4"/>
    <w:rsid w:val="1B953CD1"/>
    <w:rsid w:val="1BAB04C0"/>
    <w:rsid w:val="1C246404"/>
    <w:rsid w:val="1C2559A9"/>
    <w:rsid w:val="1CE4012E"/>
    <w:rsid w:val="1CF118D4"/>
    <w:rsid w:val="1CF244A5"/>
    <w:rsid w:val="1D316AD3"/>
    <w:rsid w:val="1E081BFA"/>
    <w:rsid w:val="1E105E6D"/>
    <w:rsid w:val="1E14059F"/>
    <w:rsid w:val="1E731769"/>
    <w:rsid w:val="1E8F5E77"/>
    <w:rsid w:val="1F435D1C"/>
    <w:rsid w:val="1F7A6B27"/>
    <w:rsid w:val="20140D2A"/>
    <w:rsid w:val="204B4B47"/>
    <w:rsid w:val="204F1D62"/>
    <w:rsid w:val="207F2647"/>
    <w:rsid w:val="208A0FEC"/>
    <w:rsid w:val="20A21E92"/>
    <w:rsid w:val="20D81D57"/>
    <w:rsid w:val="210466A8"/>
    <w:rsid w:val="21D7328A"/>
    <w:rsid w:val="21DE514B"/>
    <w:rsid w:val="21E8421C"/>
    <w:rsid w:val="21EB5ABA"/>
    <w:rsid w:val="2208331A"/>
    <w:rsid w:val="222F30AB"/>
    <w:rsid w:val="226460A0"/>
    <w:rsid w:val="22A85759"/>
    <w:rsid w:val="22B365D8"/>
    <w:rsid w:val="22B660C8"/>
    <w:rsid w:val="22B83BEE"/>
    <w:rsid w:val="22E569AE"/>
    <w:rsid w:val="22F32E79"/>
    <w:rsid w:val="23612F29"/>
    <w:rsid w:val="2423778D"/>
    <w:rsid w:val="247753E3"/>
    <w:rsid w:val="247B764C"/>
    <w:rsid w:val="24BB1774"/>
    <w:rsid w:val="24BB79C6"/>
    <w:rsid w:val="250B56C5"/>
    <w:rsid w:val="253F4153"/>
    <w:rsid w:val="25733DFD"/>
    <w:rsid w:val="25C26B32"/>
    <w:rsid w:val="25C56CF5"/>
    <w:rsid w:val="25D16D75"/>
    <w:rsid w:val="26010EF8"/>
    <w:rsid w:val="2610789E"/>
    <w:rsid w:val="26451C3D"/>
    <w:rsid w:val="26704B8B"/>
    <w:rsid w:val="26AA5F44"/>
    <w:rsid w:val="274666AE"/>
    <w:rsid w:val="279060DF"/>
    <w:rsid w:val="27D52B4D"/>
    <w:rsid w:val="27D56945"/>
    <w:rsid w:val="28A7717C"/>
    <w:rsid w:val="28B5472C"/>
    <w:rsid w:val="28DE7285"/>
    <w:rsid w:val="28F2772E"/>
    <w:rsid w:val="29AA548F"/>
    <w:rsid w:val="29F319B0"/>
    <w:rsid w:val="2A3C79E7"/>
    <w:rsid w:val="2A4E6BE6"/>
    <w:rsid w:val="2A73489F"/>
    <w:rsid w:val="2A7A79DB"/>
    <w:rsid w:val="2A7C3754"/>
    <w:rsid w:val="2B083239"/>
    <w:rsid w:val="2B683CD8"/>
    <w:rsid w:val="2B9B40AD"/>
    <w:rsid w:val="2C372028"/>
    <w:rsid w:val="2C3E7F07"/>
    <w:rsid w:val="2C4013FF"/>
    <w:rsid w:val="2C491D5B"/>
    <w:rsid w:val="2C7A3CC3"/>
    <w:rsid w:val="2D621327"/>
    <w:rsid w:val="2DA21723"/>
    <w:rsid w:val="2DC833EB"/>
    <w:rsid w:val="2E0C1292"/>
    <w:rsid w:val="2E565881"/>
    <w:rsid w:val="2E93234D"/>
    <w:rsid w:val="2EE87A31"/>
    <w:rsid w:val="2F2820FC"/>
    <w:rsid w:val="303845C1"/>
    <w:rsid w:val="305F7D9F"/>
    <w:rsid w:val="307750E9"/>
    <w:rsid w:val="30F57DBC"/>
    <w:rsid w:val="3138574A"/>
    <w:rsid w:val="314F1BC2"/>
    <w:rsid w:val="316D029A"/>
    <w:rsid w:val="31A14EB1"/>
    <w:rsid w:val="327F445E"/>
    <w:rsid w:val="328B2FE5"/>
    <w:rsid w:val="32BA12BD"/>
    <w:rsid w:val="337E22EA"/>
    <w:rsid w:val="33AD2BD0"/>
    <w:rsid w:val="340547BA"/>
    <w:rsid w:val="342D3D10"/>
    <w:rsid w:val="345B6AD0"/>
    <w:rsid w:val="34621C0C"/>
    <w:rsid w:val="34D2668D"/>
    <w:rsid w:val="3529272A"/>
    <w:rsid w:val="3546508A"/>
    <w:rsid w:val="3566572C"/>
    <w:rsid w:val="35957DBF"/>
    <w:rsid w:val="35A14864"/>
    <w:rsid w:val="360068BB"/>
    <w:rsid w:val="36617CA1"/>
    <w:rsid w:val="36CC5A63"/>
    <w:rsid w:val="36D74020"/>
    <w:rsid w:val="370D08CC"/>
    <w:rsid w:val="37907BFA"/>
    <w:rsid w:val="37C03178"/>
    <w:rsid w:val="37CB4A9E"/>
    <w:rsid w:val="37DA7D0B"/>
    <w:rsid w:val="37ED5C91"/>
    <w:rsid w:val="38417D8A"/>
    <w:rsid w:val="38743CBC"/>
    <w:rsid w:val="387C0352"/>
    <w:rsid w:val="3894610C"/>
    <w:rsid w:val="38972F9B"/>
    <w:rsid w:val="38BE762D"/>
    <w:rsid w:val="38C56C0D"/>
    <w:rsid w:val="390A2872"/>
    <w:rsid w:val="399276D4"/>
    <w:rsid w:val="39B527DE"/>
    <w:rsid w:val="3A0C0B72"/>
    <w:rsid w:val="3A1A0893"/>
    <w:rsid w:val="3A712BA9"/>
    <w:rsid w:val="3A993EAE"/>
    <w:rsid w:val="3B225C51"/>
    <w:rsid w:val="3B4C0F20"/>
    <w:rsid w:val="3B7B1805"/>
    <w:rsid w:val="3B86087B"/>
    <w:rsid w:val="3BA50630"/>
    <w:rsid w:val="3BCA50AA"/>
    <w:rsid w:val="3C0B2B89"/>
    <w:rsid w:val="3D1D5019"/>
    <w:rsid w:val="3DBD6105"/>
    <w:rsid w:val="3DD84CED"/>
    <w:rsid w:val="3DFA4C63"/>
    <w:rsid w:val="3E23065E"/>
    <w:rsid w:val="3E5B1368"/>
    <w:rsid w:val="3E642A25"/>
    <w:rsid w:val="3EB613DC"/>
    <w:rsid w:val="3F0833B0"/>
    <w:rsid w:val="3F3D5750"/>
    <w:rsid w:val="3F3E1690"/>
    <w:rsid w:val="3F7B2D15"/>
    <w:rsid w:val="3F827606"/>
    <w:rsid w:val="3FA72BC9"/>
    <w:rsid w:val="401F6B7C"/>
    <w:rsid w:val="402C30CE"/>
    <w:rsid w:val="405E3BCF"/>
    <w:rsid w:val="40863A2F"/>
    <w:rsid w:val="40A4535A"/>
    <w:rsid w:val="41006FD5"/>
    <w:rsid w:val="416C231C"/>
    <w:rsid w:val="416D4B86"/>
    <w:rsid w:val="416F3BBA"/>
    <w:rsid w:val="417D0085"/>
    <w:rsid w:val="41E33AEE"/>
    <w:rsid w:val="41EF0F66"/>
    <w:rsid w:val="42002A64"/>
    <w:rsid w:val="423F358D"/>
    <w:rsid w:val="426856B3"/>
    <w:rsid w:val="42C46792"/>
    <w:rsid w:val="43030A5E"/>
    <w:rsid w:val="43054D3B"/>
    <w:rsid w:val="43210EE4"/>
    <w:rsid w:val="435E3EE6"/>
    <w:rsid w:val="43744423"/>
    <w:rsid w:val="43F726AE"/>
    <w:rsid w:val="443C3DB6"/>
    <w:rsid w:val="44780FD8"/>
    <w:rsid w:val="44830B78"/>
    <w:rsid w:val="44C37E78"/>
    <w:rsid w:val="45617CBE"/>
    <w:rsid w:val="45C049E4"/>
    <w:rsid w:val="45C75D73"/>
    <w:rsid w:val="46753A21"/>
    <w:rsid w:val="46DA3BD8"/>
    <w:rsid w:val="46E93AC7"/>
    <w:rsid w:val="474156B1"/>
    <w:rsid w:val="475278BE"/>
    <w:rsid w:val="47B2035D"/>
    <w:rsid w:val="484A2C8B"/>
    <w:rsid w:val="4880470B"/>
    <w:rsid w:val="48B87BF5"/>
    <w:rsid w:val="48CD638E"/>
    <w:rsid w:val="496E4757"/>
    <w:rsid w:val="49AE42D6"/>
    <w:rsid w:val="49BC3715"/>
    <w:rsid w:val="4ADA6548"/>
    <w:rsid w:val="4B33219C"/>
    <w:rsid w:val="4B427C4A"/>
    <w:rsid w:val="4B50680B"/>
    <w:rsid w:val="4BE9528C"/>
    <w:rsid w:val="4C0B44E0"/>
    <w:rsid w:val="4D331F40"/>
    <w:rsid w:val="4D7F6F33"/>
    <w:rsid w:val="4E035DB6"/>
    <w:rsid w:val="4E0E49F1"/>
    <w:rsid w:val="4E3B72FE"/>
    <w:rsid w:val="4E3E0B9C"/>
    <w:rsid w:val="4E737623"/>
    <w:rsid w:val="4EC015B1"/>
    <w:rsid w:val="4EC866B8"/>
    <w:rsid w:val="4F1913FC"/>
    <w:rsid w:val="4F6D13B0"/>
    <w:rsid w:val="4FB629B4"/>
    <w:rsid w:val="4FC9093A"/>
    <w:rsid w:val="508F0CAC"/>
    <w:rsid w:val="50B27620"/>
    <w:rsid w:val="50B82E88"/>
    <w:rsid w:val="51194E1F"/>
    <w:rsid w:val="51295B34"/>
    <w:rsid w:val="51463280"/>
    <w:rsid w:val="51762F71"/>
    <w:rsid w:val="51CE0489"/>
    <w:rsid w:val="53806F03"/>
    <w:rsid w:val="53AC0356"/>
    <w:rsid w:val="53D224B3"/>
    <w:rsid w:val="53E47AF0"/>
    <w:rsid w:val="5425405E"/>
    <w:rsid w:val="545C7FCE"/>
    <w:rsid w:val="5474356A"/>
    <w:rsid w:val="54A306CE"/>
    <w:rsid w:val="54D7298C"/>
    <w:rsid w:val="555C7B5A"/>
    <w:rsid w:val="55E97640"/>
    <w:rsid w:val="563D798B"/>
    <w:rsid w:val="56435088"/>
    <w:rsid w:val="56FA587C"/>
    <w:rsid w:val="575267EE"/>
    <w:rsid w:val="578E4942"/>
    <w:rsid w:val="57AA1051"/>
    <w:rsid w:val="581B5AAA"/>
    <w:rsid w:val="58354DBE"/>
    <w:rsid w:val="58535244"/>
    <w:rsid w:val="58694A68"/>
    <w:rsid w:val="590171A7"/>
    <w:rsid w:val="595C45CC"/>
    <w:rsid w:val="59924423"/>
    <w:rsid w:val="59B57673"/>
    <w:rsid w:val="5A105AE3"/>
    <w:rsid w:val="5A123D17"/>
    <w:rsid w:val="5A290952"/>
    <w:rsid w:val="5A6000EC"/>
    <w:rsid w:val="5B25235B"/>
    <w:rsid w:val="5B280C0A"/>
    <w:rsid w:val="5BB86A1E"/>
    <w:rsid w:val="5BCA7F13"/>
    <w:rsid w:val="5BD60666"/>
    <w:rsid w:val="5BF56688"/>
    <w:rsid w:val="5CAE4572"/>
    <w:rsid w:val="5D423AD9"/>
    <w:rsid w:val="5E2356B9"/>
    <w:rsid w:val="5E292BFC"/>
    <w:rsid w:val="5E570305"/>
    <w:rsid w:val="5E5D0BCB"/>
    <w:rsid w:val="5E744166"/>
    <w:rsid w:val="5E9F11E3"/>
    <w:rsid w:val="5EA626E3"/>
    <w:rsid w:val="5ED6097D"/>
    <w:rsid w:val="5F1F0576"/>
    <w:rsid w:val="5F2E2567"/>
    <w:rsid w:val="5F4955F3"/>
    <w:rsid w:val="5F9C3975"/>
    <w:rsid w:val="5FC609F2"/>
    <w:rsid w:val="603C0CB4"/>
    <w:rsid w:val="606721D5"/>
    <w:rsid w:val="606A75CF"/>
    <w:rsid w:val="6082700E"/>
    <w:rsid w:val="60F35816"/>
    <w:rsid w:val="61204131"/>
    <w:rsid w:val="616E1356"/>
    <w:rsid w:val="61726B17"/>
    <w:rsid w:val="61F45CEA"/>
    <w:rsid w:val="61FE26C5"/>
    <w:rsid w:val="624B3430"/>
    <w:rsid w:val="624D70D3"/>
    <w:rsid w:val="62B471FE"/>
    <w:rsid w:val="62B60DF0"/>
    <w:rsid w:val="63251ED3"/>
    <w:rsid w:val="63475689"/>
    <w:rsid w:val="635660BC"/>
    <w:rsid w:val="639E415F"/>
    <w:rsid w:val="63A840D1"/>
    <w:rsid w:val="63D01E3F"/>
    <w:rsid w:val="63D26094"/>
    <w:rsid w:val="63F0428F"/>
    <w:rsid w:val="640970FF"/>
    <w:rsid w:val="64BD6867"/>
    <w:rsid w:val="65D200F0"/>
    <w:rsid w:val="66377F53"/>
    <w:rsid w:val="66EC3434"/>
    <w:rsid w:val="671E7365"/>
    <w:rsid w:val="6729387D"/>
    <w:rsid w:val="67EB67A5"/>
    <w:rsid w:val="680D18B3"/>
    <w:rsid w:val="6884144A"/>
    <w:rsid w:val="68E24AEE"/>
    <w:rsid w:val="695D23C7"/>
    <w:rsid w:val="6974490C"/>
    <w:rsid w:val="69B51B3F"/>
    <w:rsid w:val="6A0D5B9B"/>
    <w:rsid w:val="6A575068"/>
    <w:rsid w:val="6A755E19"/>
    <w:rsid w:val="6A86594D"/>
    <w:rsid w:val="6A90057A"/>
    <w:rsid w:val="6AFB5BA3"/>
    <w:rsid w:val="6B086362"/>
    <w:rsid w:val="6B67752D"/>
    <w:rsid w:val="6B8D62EF"/>
    <w:rsid w:val="6BDD26D6"/>
    <w:rsid w:val="6C845EBC"/>
    <w:rsid w:val="6C847C6A"/>
    <w:rsid w:val="6CF44DF0"/>
    <w:rsid w:val="6CF50B68"/>
    <w:rsid w:val="6D323B0C"/>
    <w:rsid w:val="6D535F8B"/>
    <w:rsid w:val="6D5B7B8F"/>
    <w:rsid w:val="6D995997"/>
    <w:rsid w:val="6DA93E2C"/>
    <w:rsid w:val="6DAA54AF"/>
    <w:rsid w:val="6E177A5B"/>
    <w:rsid w:val="6E867CCA"/>
    <w:rsid w:val="6EA42846"/>
    <w:rsid w:val="6EF94940"/>
    <w:rsid w:val="6F5006CE"/>
    <w:rsid w:val="6F5A2F04"/>
    <w:rsid w:val="6F765F90"/>
    <w:rsid w:val="6FAC5A7B"/>
    <w:rsid w:val="70181BCB"/>
    <w:rsid w:val="70741DA4"/>
    <w:rsid w:val="70B36D70"/>
    <w:rsid w:val="71226059"/>
    <w:rsid w:val="713D663A"/>
    <w:rsid w:val="71624EA4"/>
    <w:rsid w:val="71754026"/>
    <w:rsid w:val="71AA3CCF"/>
    <w:rsid w:val="7205184D"/>
    <w:rsid w:val="7265409A"/>
    <w:rsid w:val="72677E12"/>
    <w:rsid w:val="72872262"/>
    <w:rsid w:val="732A3D34"/>
    <w:rsid w:val="73C31078"/>
    <w:rsid w:val="73E545A2"/>
    <w:rsid w:val="74EA0887"/>
    <w:rsid w:val="750951B1"/>
    <w:rsid w:val="751D0C5C"/>
    <w:rsid w:val="75542A4A"/>
    <w:rsid w:val="756659F5"/>
    <w:rsid w:val="75A26BAE"/>
    <w:rsid w:val="75B3511C"/>
    <w:rsid w:val="75E654F2"/>
    <w:rsid w:val="76191423"/>
    <w:rsid w:val="76557965"/>
    <w:rsid w:val="76612DCA"/>
    <w:rsid w:val="772B7660"/>
    <w:rsid w:val="7735228D"/>
    <w:rsid w:val="775748F9"/>
    <w:rsid w:val="778E5E41"/>
    <w:rsid w:val="781A1483"/>
    <w:rsid w:val="787943FB"/>
    <w:rsid w:val="78874D6A"/>
    <w:rsid w:val="78C95383"/>
    <w:rsid w:val="78D770B8"/>
    <w:rsid w:val="79202AC9"/>
    <w:rsid w:val="79586707"/>
    <w:rsid w:val="7984574E"/>
    <w:rsid w:val="798B6F10"/>
    <w:rsid w:val="79C36276"/>
    <w:rsid w:val="79FC1788"/>
    <w:rsid w:val="7AE50A54"/>
    <w:rsid w:val="7B1623D5"/>
    <w:rsid w:val="7B684F4E"/>
    <w:rsid w:val="7BC129EA"/>
    <w:rsid w:val="7BE81FC4"/>
    <w:rsid w:val="7C073772"/>
    <w:rsid w:val="7C0A196B"/>
    <w:rsid w:val="7C2D3E7B"/>
    <w:rsid w:val="7C7D0C3E"/>
    <w:rsid w:val="7C882FB2"/>
    <w:rsid w:val="7CCA3477"/>
    <w:rsid w:val="7D1868D9"/>
    <w:rsid w:val="7D584F27"/>
    <w:rsid w:val="7D5B159A"/>
    <w:rsid w:val="7D891584"/>
    <w:rsid w:val="7D9615AC"/>
    <w:rsid w:val="7DC205F3"/>
    <w:rsid w:val="7DCB56F9"/>
    <w:rsid w:val="7DE247F1"/>
    <w:rsid w:val="7DE556EE"/>
    <w:rsid w:val="7E0509CE"/>
    <w:rsid w:val="7E0E55E6"/>
    <w:rsid w:val="7E1536A4"/>
    <w:rsid w:val="7E3F39F1"/>
    <w:rsid w:val="7E8024AF"/>
    <w:rsid w:val="7E8047A2"/>
    <w:rsid w:val="7ECF746B"/>
    <w:rsid w:val="7EDB7BBE"/>
    <w:rsid w:val="7F141322"/>
    <w:rsid w:val="7F385010"/>
    <w:rsid w:val="7F5636E8"/>
    <w:rsid w:val="7F5A0D58"/>
    <w:rsid w:val="7F60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qFormat="1" w:uiPriority="99" w:semiHidden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line number"/>
    <w:basedOn w:val="7"/>
    <w:autoRedefine/>
    <w:unhideWhenUsed/>
    <w:qFormat/>
    <w:uiPriority w:val="99"/>
    <w:rPr>
      <w:rFonts w:hint="eastAsia"/>
      <w:sz w:val="24"/>
      <w:szCs w:val="24"/>
    </w:rPr>
  </w:style>
  <w:style w:type="character" w:styleId="9">
    <w:name w:val="Hyperlink"/>
    <w:autoRedefine/>
    <w:unhideWhenUsed/>
    <w:qFormat/>
    <w:uiPriority w:val="99"/>
    <w:rPr>
      <w:rFonts w:hint="eastAsia" w:ascii="Times New Roman" w:hAnsi="Times New Roman" w:eastAsia="Times New Roman"/>
      <w:color w:val="0000FF"/>
      <w:sz w:val="24"/>
      <w:szCs w:val="24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1434</Words>
  <Characters>1707</Characters>
  <Lines>24</Lines>
  <Paragraphs>6</Paragraphs>
  <TotalTime>0</TotalTime>
  <ScaleCrop>false</ScaleCrop>
  <LinksUpToDate>false</LinksUpToDate>
  <CharactersWithSpaces>1955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2023-01-09T02:29:00Z</dcterms:created>
  <dc:creator>await</dc:creator>
  <cp:lastModifiedBy>Administrator</cp:lastModifiedBy>
  <cp:lastPrinted>2023-04-04T07:28:00Z</cp:lastPrinted>
  <dcterms:modified xsi:type="dcterms:W3CDTF">2024-05-11T08:07:06Z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380923A6DF1043C1B67A36B72FA9D16A</vt:lpwstr>
  </property>
</Properties>
</file>