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矩形 0">
      <v:fill on="f" color2="#FFFFFF" focus="0%"/>
    </v:background>
  </w:background>
  <w:body>
    <w:p>
      <w:pPr>
        <w:widowControl/>
        <w:adjustRightInd w:val="0"/>
        <w:snapToGrid w:val="0"/>
        <w:spacing w:line="360" w:lineRule="auto"/>
        <w:rPr>
          <w:rFonts w:ascii="仿宋" w:hAnsi="仿宋" w:eastAsia="仿宋" w:cs="宋体"/>
          <w:color w:val="000000"/>
          <w:sz w:val="32"/>
          <w:szCs w:val="32"/>
        </w:rPr>
      </w:pPr>
      <w:r>
        <w:rPr>
          <w:rFonts w:hint="eastAsia" w:ascii="仿宋" w:hAnsi="仿宋" w:eastAsia="仿宋" w:cs="宋体"/>
          <w:color w:val="000000"/>
          <w:sz w:val="32"/>
          <w:szCs w:val="32"/>
        </w:rPr>
        <w:t>附件3</w:t>
      </w:r>
    </w:p>
    <w:p>
      <w:pPr>
        <w:widowControl/>
        <w:adjustRightInd w:val="0"/>
        <w:snapToGrid w:val="0"/>
        <w:spacing w:before="156" w:after="156" w:line="360" w:lineRule="auto"/>
        <w:jc w:val="center"/>
        <w:rPr>
          <w:rFonts w:hint="eastAsia" w:ascii="黑体" w:hAnsi="黑体" w:eastAsia="黑体" w:cs="宋体"/>
          <w:color w:val="000000"/>
          <w:sz w:val="36"/>
          <w:szCs w:val="36"/>
        </w:rPr>
      </w:pPr>
      <w:r>
        <w:rPr>
          <w:rFonts w:hint="eastAsia" w:ascii="黑体" w:hAnsi="黑体" w:eastAsia="黑体" w:cs="宋体"/>
          <w:color w:val="000000"/>
          <w:sz w:val="36"/>
          <w:szCs w:val="36"/>
        </w:rPr>
        <w:t>20</w:t>
      </w:r>
      <w:r>
        <w:rPr>
          <w:rFonts w:hint="eastAsia" w:ascii="黑体" w:hAnsi="黑体" w:eastAsia="黑体" w:cs="宋体"/>
          <w:color w:val="000000"/>
          <w:sz w:val="36"/>
          <w:szCs w:val="36"/>
          <w:lang w:val="en-US" w:eastAsia="zh-CN"/>
        </w:rPr>
        <w:t>19</w:t>
      </w:r>
      <w:r>
        <w:rPr>
          <w:rFonts w:hint="eastAsia" w:ascii="黑体" w:hAnsi="黑体" w:eastAsia="黑体" w:cs="宋体"/>
          <w:color w:val="000000"/>
          <w:sz w:val="36"/>
          <w:szCs w:val="36"/>
        </w:rPr>
        <w:t>年城厢区区</w:t>
      </w:r>
      <w:r>
        <w:rPr>
          <w:rFonts w:hint="eastAsia" w:ascii="黑体" w:hAnsi="黑体" w:eastAsia="黑体" w:cs="宋体"/>
          <w:color w:val="000000"/>
          <w:sz w:val="36"/>
          <w:szCs w:val="36"/>
          <w:lang w:eastAsia="zh-CN"/>
        </w:rPr>
        <w:t>本</w:t>
      </w:r>
      <w:r>
        <w:rPr>
          <w:rFonts w:hint="eastAsia" w:ascii="黑体" w:hAnsi="黑体" w:eastAsia="黑体" w:cs="宋体"/>
          <w:color w:val="000000"/>
          <w:sz w:val="36"/>
          <w:szCs w:val="36"/>
        </w:rPr>
        <w:t>级“三公”经费预算安排情况</w:t>
      </w:r>
    </w:p>
    <w:p>
      <w:pPr>
        <w:widowControl/>
        <w:adjustRightInd w:val="0"/>
        <w:snapToGrid w:val="0"/>
        <w:spacing w:line="360" w:lineRule="auto"/>
        <w:ind w:firstLine="660"/>
        <w:rPr>
          <w:rFonts w:hint="eastAsia" w:ascii="仿宋" w:hAnsi="仿宋" w:eastAsia="仿宋" w:cs="宋体"/>
          <w:b/>
          <w:bCs/>
          <w:color w:val="000000"/>
          <w:sz w:val="32"/>
          <w:szCs w:val="32"/>
        </w:rPr>
      </w:pPr>
      <w:r>
        <w:rPr>
          <w:rFonts w:hint="eastAsia" w:ascii="仿宋" w:hAnsi="仿宋" w:eastAsia="仿宋" w:cs="宋体"/>
          <w:b/>
          <w:bCs/>
          <w:color w:val="000000"/>
          <w:sz w:val="32"/>
          <w:szCs w:val="32"/>
        </w:rPr>
        <w:t xml:space="preserve"> </w:t>
      </w:r>
    </w:p>
    <w:p>
      <w:pPr>
        <w:widowControl/>
        <w:adjustRightInd w:val="0"/>
        <w:snapToGrid w:val="0"/>
        <w:spacing w:line="360" w:lineRule="auto"/>
        <w:ind w:firstLine="640" w:firstLineChars="200"/>
        <w:rPr>
          <w:rFonts w:hint="eastAsia" w:ascii="仿宋_GB2312" w:hAnsi="仿宋" w:eastAsia="仿宋_GB2312" w:cs="宋体"/>
          <w:bCs/>
          <w:sz w:val="32"/>
          <w:szCs w:val="32"/>
        </w:rPr>
      </w:pPr>
      <w:r>
        <w:rPr>
          <w:rFonts w:hint="eastAsia" w:ascii="仿宋_GB2312" w:hAnsi="仿宋" w:eastAsia="仿宋_GB2312" w:cs="宋体"/>
          <w:kern w:val="0"/>
          <w:sz w:val="32"/>
          <w:szCs w:val="32"/>
        </w:rPr>
        <w:t>按照《中华人民共和国预算法》和</w:t>
      </w:r>
      <w:r>
        <w:rPr>
          <w:rFonts w:hint="eastAsia" w:ascii="仿宋_GB2312" w:hAnsi="仿宋" w:eastAsia="仿宋_GB2312" w:cs="宋体"/>
          <w:spacing w:val="-10"/>
          <w:kern w:val="0"/>
          <w:sz w:val="32"/>
          <w:szCs w:val="32"/>
        </w:rPr>
        <w:t>《中共福建省委办公厅 省人民政府办公厅关于进一步推进预算公开工作的实施意见》（闽委办发〔2016〕22号）</w:t>
      </w:r>
      <w:r>
        <w:rPr>
          <w:rFonts w:hint="eastAsia" w:ascii="仿宋_GB2312" w:hAnsi="仿宋" w:eastAsia="仿宋_GB2312" w:cs="宋体"/>
          <w:kern w:val="0"/>
          <w:sz w:val="32"/>
          <w:szCs w:val="32"/>
        </w:rPr>
        <w:t>的有关规定</w:t>
      </w:r>
      <w:r>
        <w:rPr>
          <w:rFonts w:hint="eastAsia" w:ascii="仿宋_GB2312" w:hAnsi="仿宋" w:eastAsia="仿宋_GB2312" w:cs="宋体"/>
          <w:kern w:val="0"/>
          <w:sz w:val="32"/>
          <w:szCs w:val="32"/>
          <w:lang w:val="en-US" w:eastAsia="zh-CN"/>
        </w:rPr>
        <w:t>,</w:t>
      </w:r>
      <w:r>
        <w:rPr>
          <w:rFonts w:hint="eastAsia" w:ascii="仿宋" w:hAnsi="仿宋" w:eastAsia="仿宋" w:cs="宋体"/>
          <w:sz w:val="32"/>
          <w:szCs w:val="32"/>
        </w:rPr>
        <w:t>经城厢区财政局汇总，</w:t>
      </w:r>
      <w:r>
        <w:rPr>
          <w:rFonts w:hint="eastAsia" w:ascii="仿宋_GB2312" w:hAnsi="仿宋" w:eastAsia="仿宋_GB2312" w:cs="宋体"/>
          <w:bCs/>
          <w:sz w:val="32"/>
          <w:szCs w:val="32"/>
        </w:rPr>
        <w:t>本级2019年使用一般公共预算拨款安排的“三公”经费预算数为748.42万元，比上年预算数减少4.12万元。其中，因公出国（境）经费105.50万元，与上年预算数相比增加41.20万元；公务接待费143.41万元，与上年预算数相比下降1.65</w:t>
      </w:r>
      <w:bookmarkStart w:id="0" w:name="_GoBack"/>
      <w:bookmarkEnd w:id="0"/>
      <w:r>
        <w:rPr>
          <w:rFonts w:hint="eastAsia" w:ascii="仿宋_GB2312" w:hAnsi="仿宋" w:eastAsia="仿宋_GB2312" w:cs="宋体"/>
          <w:bCs/>
          <w:sz w:val="32"/>
          <w:szCs w:val="32"/>
        </w:rPr>
        <w:t>%；公务用车购置经费45万元，与上年预算数相比下降8.16%；公务用车运行经费454.51万元，与上年预算数相比下降7.89%。“三公”经费预算减少的主要原因是我区认真贯彻厉行节约反对浪费有关精神，压缩一般性支出，严格控制“三公”经费预算，结合公务用车制度改革，严格控制车辆购置和运行支出。</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 w:name="Calibri">
    <w:panose1 w:val="020F0502020204030204"/>
    <w:charset w:val="00"/>
    <w:family w:val="auto"/>
    <w:pitch w:val="default"/>
    <w:sig w:usb0="E0002AFF" w:usb1="C000247B" w:usb2="00000009" w:usb3="00000000" w:csb0="200001FF" w:csb1="00000000"/>
  </w:font>
  <w:font w:name="仿宋">
    <w:altName w:val="SimSun-ExtB"/>
    <w:panose1 w:val="02010609060101010101"/>
    <w:charset w:val="86"/>
    <w:family w:val="auto"/>
    <w:pitch w:val="default"/>
    <w:sig w:usb0="800002BF" w:usb1="38CF7CFA" w:usb2="00000016" w:usb3="00000000" w:csb0="00040001" w:csb1="00000000"/>
  </w:font>
  <w:font w:name="仿宋_GB2312">
    <w:altName w:val="微软雅黑"/>
    <w:panose1 w:val="02010609030101010101"/>
    <w:charset w:val="86"/>
    <w:family w:val="auto"/>
    <w:pitch w:val="default"/>
    <w:sig w:usb0="00000001" w:usb1="080E0000" w:usb2="00000000" w:usb3="00000000" w:csb0="00040000"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iPriority w:val="0"/>
    <w:pPr>
      <w:widowControl w:val="0"/>
      <w:jc w:val="both"/>
    </w:pPr>
    <w:rPr>
      <w:rFonts w:ascii="Calibri" w:hAnsi="Calibri" w:eastAsia="宋体" w:cs="Arial"/>
      <w:sz w:val="21"/>
      <w:szCs w:val="21"/>
      <w:lang w:val="en-US" w:eastAsia="zh-CN" w:bidi="ar-SA"/>
    </w:rPr>
  </w:style>
  <w:style w:type="character" w:default="1" w:styleId="2">
    <w:name w:val="Default Paragraph Font"/>
    <w:semiHidden/>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288</Characters>
  <Lines>2</Lines>
  <Paragraphs>1</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2018-03-05T09:01:00Z</dcterms:created>
  <dc:creator>dcc</dc:creator>
  <cp:lastModifiedBy>Administrator</cp:lastModifiedBy>
  <dcterms:modified xsi:type="dcterms:W3CDTF">2019-02-17T16:16:37Z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