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543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2"/>
          <w:lang w:eastAsia="zh-CN"/>
        </w:rPr>
        <w:t>枇杷种植示范基地建设—枇杷新品种技术秘密使用权项目</w:t>
      </w:r>
    </w:p>
    <w:p w14:paraId="43FB8BD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2"/>
        </w:rPr>
        <w:t>单一来源公告</w:t>
      </w:r>
    </w:p>
    <w:p w14:paraId="6798071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项目概况</w:t>
      </w:r>
    </w:p>
    <w:p w14:paraId="69ACCCA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福建省一十招标代理有限公司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采用单一来源采购方式组织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枇杷种植示范基地建设—枇杷新品种技术秘密使用权项目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（以下简称：“本项目或者采购项目”）的采购活动，特邀请下列供应商参加本项目特定合同包的协商。现将本项目有关事项告知如下：</w:t>
      </w:r>
    </w:p>
    <w:p w14:paraId="7D0B6AF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闽一十【2025】采购10078</w:t>
      </w:r>
    </w:p>
    <w:p w14:paraId="49E67D3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枇杷种植示范基地建设—枇杷新品种技术秘密使用权项目</w:t>
      </w:r>
    </w:p>
    <w:p w14:paraId="4A2F809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3、采购内容及要求：</w:t>
      </w:r>
    </w:p>
    <w:p w14:paraId="0840097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</w:t>
      </w:r>
    </w:p>
    <w:p w14:paraId="48FE8F2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400000.00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508C49E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400000.00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55F1267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协商保证金：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4000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 w14:paraId="16C0D6A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采购需求：（包括但不限于标的的名称、数量、简要技术需求或服务要求等）</w:t>
      </w:r>
    </w:p>
    <w:tbl>
      <w:tblPr>
        <w:tblStyle w:val="7"/>
        <w:tblW w:w="499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2398"/>
        <w:gridCol w:w="1068"/>
        <w:gridCol w:w="1127"/>
        <w:gridCol w:w="1537"/>
        <w:gridCol w:w="1349"/>
        <w:gridCol w:w="1355"/>
      </w:tblGrid>
      <w:tr w14:paraId="69064B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C94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2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3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5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7B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5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C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允许进口</w:t>
            </w:r>
          </w:p>
        </w:tc>
        <w:tc>
          <w:tcPr>
            <w:tcW w:w="7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C4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简要需求或要求</w:t>
            </w:r>
          </w:p>
        </w:tc>
        <w:tc>
          <w:tcPr>
            <w:tcW w:w="6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BE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6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28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中小企业划分标准所属行业</w:t>
            </w:r>
          </w:p>
        </w:tc>
      </w:tr>
      <w:tr w14:paraId="7A217A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C0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2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82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枇杷种植示范基地建设—枇杷新品种技术秘密使用权</w:t>
            </w:r>
          </w:p>
        </w:tc>
        <w:tc>
          <w:tcPr>
            <w:tcW w:w="54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2E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5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6B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7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E3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详见单一来源采购文件</w:t>
            </w:r>
          </w:p>
        </w:tc>
        <w:tc>
          <w:tcPr>
            <w:tcW w:w="68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7E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400000.00</w:t>
            </w:r>
          </w:p>
        </w:tc>
        <w:tc>
          <w:tcPr>
            <w:tcW w:w="68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ED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其他未列明行业</w:t>
            </w:r>
          </w:p>
        </w:tc>
      </w:tr>
    </w:tbl>
    <w:p w14:paraId="3B39D8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本采购包不接受联合体投标</w:t>
      </w:r>
    </w:p>
    <w:p w14:paraId="291E0E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合同履行期限：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详见单一来源采购文件</w:t>
      </w:r>
    </w:p>
    <w:p w14:paraId="4777977E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4、邀请参加本项目协商的供应商名单如下：详见单一来源采购文件</w:t>
      </w:r>
    </w:p>
    <w:p w14:paraId="3A67ACC8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5、供应商的资格要求</w:t>
      </w:r>
    </w:p>
    <w:p w14:paraId="7D3D692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5.1、法定条件：具备《中华人民共和国政府采购法》第二十二条第一款规定的条件。</w:t>
      </w:r>
    </w:p>
    <w:p w14:paraId="2881900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5.2、特定条件：</w:t>
      </w:r>
    </w:p>
    <w:p w14:paraId="6A6D110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采购包1：</w:t>
      </w:r>
    </w:p>
    <w:tbl>
      <w:tblPr>
        <w:tblStyle w:val="7"/>
        <w:tblW w:w="4996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7224"/>
      </w:tblGrid>
      <w:tr w14:paraId="4BEE69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pct"/>
          </w:tcPr>
          <w:p w14:paraId="4DF833E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 xml:space="preserve"> 资格审查要求概况</w:t>
            </w:r>
          </w:p>
        </w:tc>
        <w:tc>
          <w:tcPr>
            <w:tcW w:w="3668" w:type="pct"/>
          </w:tcPr>
          <w:p w14:paraId="1E60D8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 xml:space="preserve"> 评审点具体描述</w:t>
            </w:r>
          </w:p>
        </w:tc>
      </w:tr>
      <w:tr w14:paraId="2EC1B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pct"/>
          </w:tcPr>
          <w:p w14:paraId="3398DDE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资格承诺函</w:t>
            </w:r>
          </w:p>
        </w:tc>
        <w:tc>
          <w:tcPr>
            <w:tcW w:w="3668" w:type="pct"/>
          </w:tcPr>
          <w:p w14:paraId="0D66314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①本采购包允许供应商采用资格承诺制。采用资格承诺制的供应商，应当根据投标(响应)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②采购项目有特殊资格要求的，供应商还应按要求提供相应的证明材料。</w:t>
            </w:r>
          </w:p>
        </w:tc>
      </w:tr>
    </w:tbl>
    <w:p w14:paraId="6B853AE1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5.3、列入失信被执行人、重大税收违法案件当事人名单、政府采购严重违法失信行为记录名单及其他不符合《中华人民共和国政府采购法》第二十二条规定条件的供应商，不得参加协商，否则响应文件无效。</w:t>
      </w:r>
    </w:p>
    <w:p w14:paraId="1B02920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5.4、本项目不接受联合体参加，不允许成交供应商进行分包、转包。</w:t>
      </w:r>
    </w:p>
    <w:p w14:paraId="5A5F181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6、采购文件的获取：由采购方在发出本邀请函的同时提供给被邀请供应商。</w:t>
      </w:r>
    </w:p>
    <w:p w14:paraId="678B3F3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7、供应商获取采购文件开始时间：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2025年11月17日，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获取采购文件截止时间：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2025年11月21日。</w:t>
      </w:r>
    </w:p>
    <w:p w14:paraId="60187E9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8、提交响应文件截止时间及提交响应文件地点：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2025年11月24日9时00分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(北京时间)，供应商应在此之前将密封的响应文件送达（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福建省一十招标代理有限公司开标室）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，逾期送达的或不符合规定的响应文件将被拒绝接收。</w:t>
      </w:r>
    </w:p>
    <w:p w14:paraId="3D4965D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9、协商时间及协商地点：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2025年11月24日9时00分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福建省一十招标代理有限公司开标室。</w:t>
      </w:r>
    </w:p>
    <w:p w14:paraId="0AF573F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10、以上如有变更，采购方会通过更正公告通知被邀请供应商，请供应商关注。</w:t>
      </w:r>
    </w:p>
    <w:p w14:paraId="033BBAE2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11、联系方式</w:t>
      </w:r>
    </w:p>
    <w:p w14:paraId="2D91137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1.采购人信息</w:t>
      </w:r>
    </w:p>
    <w:p w14:paraId="2A2247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Calibri" w:hAnsi="Calibri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Calibri" w:hAnsi="Calibri" w:eastAsia="宋体" w:cs="Times New Roman"/>
          <w:color w:val="auto"/>
          <w:sz w:val="24"/>
          <w:szCs w:val="24"/>
          <w:highlight w:val="none"/>
          <w:lang w:eastAsia="zh-CN"/>
        </w:rPr>
        <w:t>莆田市圳湖投资有限公司</w:t>
      </w:r>
    </w:p>
    <w:p w14:paraId="4C5D2A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Calibri" w:hAnsi="Calibri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color w:val="auto"/>
          <w:sz w:val="24"/>
          <w:szCs w:val="24"/>
          <w:highlight w:val="none"/>
        </w:rPr>
        <w:t>联系人：</w:t>
      </w:r>
      <w:r>
        <w:rPr>
          <w:rFonts w:hint="eastAsia" w:ascii="Calibri" w:hAnsi="Calibri" w:eastAsia="宋体" w:cs="Times New Roman"/>
          <w:color w:val="auto"/>
          <w:sz w:val="24"/>
          <w:szCs w:val="24"/>
          <w:highlight w:val="none"/>
          <w:lang w:val="en-US" w:eastAsia="zh-CN"/>
        </w:rPr>
        <w:t>郑先生</w:t>
      </w:r>
      <w:r>
        <w:rPr>
          <w:rFonts w:hint="eastAsia" w:ascii="Calibri" w:hAnsi="Calibri" w:eastAsia="宋体" w:cs="Times New Roman"/>
          <w:color w:val="auto"/>
          <w:sz w:val="24"/>
          <w:szCs w:val="24"/>
          <w:highlight w:val="none"/>
        </w:rPr>
        <w:t xml:space="preserve"> </w:t>
      </w:r>
    </w:p>
    <w:p w14:paraId="416457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Calibri" w:hAnsi="Calibri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Calibri" w:hAnsi="Calibri" w:eastAsia="宋体" w:cs="Times New Roman"/>
          <w:color w:val="auto"/>
          <w:sz w:val="24"/>
          <w:szCs w:val="24"/>
          <w:highlight w:val="none"/>
        </w:rPr>
        <w:t>联系地址：</w:t>
      </w:r>
      <w:r>
        <w:rPr>
          <w:rFonts w:hint="eastAsia" w:ascii="Calibri" w:hAnsi="Calibri" w:eastAsia="宋体" w:cs="Times New Roman"/>
          <w:color w:val="auto"/>
          <w:sz w:val="24"/>
          <w:szCs w:val="24"/>
          <w:highlight w:val="none"/>
          <w:lang w:eastAsia="zh-CN"/>
        </w:rPr>
        <w:t>福建省莆田市城厢区常太镇常太村利洋1号</w:t>
      </w:r>
    </w:p>
    <w:p w14:paraId="286237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color w:val="auto"/>
          <w:sz w:val="24"/>
          <w:szCs w:val="24"/>
          <w:highlight w:val="none"/>
        </w:rPr>
        <w:t>联系电话：13808570031</w:t>
      </w:r>
    </w:p>
    <w:p w14:paraId="1E44A8F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2.采购代理机构信息（如有）</w:t>
      </w:r>
    </w:p>
    <w:p w14:paraId="368BB7CB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福建省一十招标代理有限公司</w:t>
      </w:r>
    </w:p>
    <w:p w14:paraId="2A78E51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福建省莆田市城厢区龙桥街道民心街249号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7号8号电梯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1104室</w:t>
      </w:r>
    </w:p>
    <w:p w14:paraId="2A1664E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0594-2278989</w:t>
      </w:r>
    </w:p>
    <w:p w14:paraId="0A62DBE6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 w14:paraId="4847CDA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黄女士</w:t>
      </w:r>
    </w:p>
    <w:p w14:paraId="33E2823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0594-2278989</w:t>
      </w:r>
    </w:p>
    <w:p w14:paraId="2BE628F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邮箱：fjys10@163.com</w:t>
      </w:r>
    </w:p>
    <w:p w14:paraId="25146F50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Calibri" w:hAnsi="Calibri" w:eastAsia="宋体" w:cs="Times New Roman"/>
          <w:color w:val="auto"/>
          <w:sz w:val="24"/>
          <w:szCs w:val="24"/>
          <w:highlight w:val="none"/>
          <w:lang w:eastAsia="zh-CN"/>
        </w:rPr>
      </w:pPr>
    </w:p>
    <w:p w14:paraId="2CDB732C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莆田市圳湖投资有限公司</w:t>
      </w:r>
      <w:r>
        <w:rPr>
          <w:rFonts w:hint="eastAsia" w:ascii="Calibri" w:hAnsi="Calibri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福建省一十招标代理有限公司</w:t>
      </w:r>
    </w:p>
    <w:p w14:paraId="15A59EDD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2025年11月17日                                      2025年11月17日</w:t>
      </w:r>
    </w:p>
    <w:p w14:paraId="3D4239EB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ABF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33A8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33A81">
                    <w:pPr>
                      <w:pStyle w:val="4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BE7D6"/>
    <w:multiLevelType w:val="multilevel"/>
    <w:tmpl w:val="251BE7D6"/>
    <w:lvl w:ilvl="0" w:tentative="0">
      <w:start w:val="1"/>
      <w:numFmt w:val="decimal"/>
      <w:pStyle w:val="2"/>
      <w:lvlText w:val="第 %1 章"/>
      <w:lvlJc w:val="left"/>
      <w:pPr>
        <w:tabs>
          <w:tab w:val="left" w:pos="3992"/>
        </w:tabs>
        <w:ind w:left="2552" w:firstLine="0"/>
      </w:pPr>
      <w:rPr>
        <w:rFonts w:hint="eastAsia" w:eastAsia="宋体"/>
        <w:b/>
        <w:i w:val="0"/>
        <w:sz w:val="44"/>
      </w:rPr>
    </w:lvl>
    <w:lvl w:ilvl="1" w:tentative="0">
      <w:start w:val="1"/>
      <w:numFmt w:val="decimal"/>
      <w:pStyle w:val="10"/>
      <w:lvlText w:val="第%2节 "/>
      <w:lvlJc w:val="left"/>
      <w:pPr>
        <w:tabs>
          <w:tab w:val="left" w:pos="-2257"/>
        </w:tabs>
        <w:ind w:left="-2977" w:firstLine="0"/>
      </w:pPr>
      <w:rPr>
        <w:rFonts w:hint="eastAsia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2"/>
        <w:u w:val="none"/>
        <w:vertAlign w:val="baseline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-2257"/>
        </w:tabs>
        <w:ind w:left="-2977" w:firstLine="0"/>
      </w:pPr>
      <w:rPr>
        <w:rFonts w:hint="eastAsia" w:eastAsia="宋体"/>
        <w:b/>
        <w:i w:val="0"/>
        <w:sz w:val="28"/>
        <w:szCs w:val="28"/>
      </w:rPr>
    </w:lvl>
    <w:lvl w:ilvl="3" w:tentative="0">
      <w:start w:val="1"/>
      <w:numFmt w:val="chineseCountingThousand"/>
      <w:lvlText w:val="(%4)  "/>
      <w:lvlJc w:val="right"/>
      <w:pPr>
        <w:tabs>
          <w:tab w:val="left" w:pos="-2977"/>
        </w:tabs>
        <w:ind w:left="-2977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5."/>
      <w:lvlJc w:val="left"/>
      <w:pPr>
        <w:tabs>
          <w:tab w:val="left" w:pos="-2399"/>
        </w:tabs>
        <w:ind w:left="-2977" w:firstLine="576"/>
      </w:pPr>
      <w:rPr>
        <w:rFonts w:hint="eastAsia" w:eastAsia="宋体"/>
        <w:b/>
        <w:i w:val="0"/>
        <w:sz w:val="28"/>
      </w:rPr>
    </w:lvl>
    <w:lvl w:ilvl="5" w:tentative="0">
      <w:start w:val="1"/>
      <w:numFmt w:val="lowerLetter"/>
      <w:lvlText w:val="%6)"/>
      <w:lvlJc w:val="left"/>
      <w:pPr>
        <w:tabs>
          <w:tab w:val="left" w:pos="-1825"/>
        </w:tabs>
        <w:ind w:left="-1825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-1681"/>
        </w:tabs>
        <w:ind w:left="-1681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-1537"/>
        </w:tabs>
        <w:ind w:left="-1537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-1393"/>
        </w:tabs>
        <w:ind w:left="-1393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0240"/>
    <w:rsid w:val="00FD1793"/>
    <w:rsid w:val="04437050"/>
    <w:rsid w:val="06917A03"/>
    <w:rsid w:val="06AB0118"/>
    <w:rsid w:val="0A6B3EBC"/>
    <w:rsid w:val="0DAF66CE"/>
    <w:rsid w:val="0FC87CEA"/>
    <w:rsid w:val="17AF5585"/>
    <w:rsid w:val="1C3D380E"/>
    <w:rsid w:val="1D610439"/>
    <w:rsid w:val="1DD737EE"/>
    <w:rsid w:val="1F8F4381"/>
    <w:rsid w:val="22B42350"/>
    <w:rsid w:val="26976211"/>
    <w:rsid w:val="28546167"/>
    <w:rsid w:val="2B0A5203"/>
    <w:rsid w:val="2B2362C5"/>
    <w:rsid w:val="2C210A56"/>
    <w:rsid w:val="2C434F4D"/>
    <w:rsid w:val="2CA945A8"/>
    <w:rsid w:val="2D0143E4"/>
    <w:rsid w:val="2E071449"/>
    <w:rsid w:val="2E344345"/>
    <w:rsid w:val="2EE45D6B"/>
    <w:rsid w:val="315C42DF"/>
    <w:rsid w:val="32894C60"/>
    <w:rsid w:val="346E05B1"/>
    <w:rsid w:val="35956011"/>
    <w:rsid w:val="36684CA9"/>
    <w:rsid w:val="3E067AAC"/>
    <w:rsid w:val="3F285800"/>
    <w:rsid w:val="3FC574F3"/>
    <w:rsid w:val="41EB1689"/>
    <w:rsid w:val="442E5667"/>
    <w:rsid w:val="451707F1"/>
    <w:rsid w:val="4AAC5537"/>
    <w:rsid w:val="4BB072A9"/>
    <w:rsid w:val="4DEA5DB4"/>
    <w:rsid w:val="4FB05ACA"/>
    <w:rsid w:val="53B76F60"/>
    <w:rsid w:val="54774E08"/>
    <w:rsid w:val="557559E3"/>
    <w:rsid w:val="62E905E7"/>
    <w:rsid w:val="65D57BE0"/>
    <w:rsid w:val="688A2F04"/>
    <w:rsid w:val="6A70612A"/>
    <w:rsid w:val="6D9B526C"/>
    <w:rsid w:val="73357F10"/>
    <w:rsid w:val="76051E1C"/>
    <w:rsid w:val="782D565A"/>
    <w:rsid w:val="7856695F"/>
    <w:rsid w:val="7B1448AF"/>
    <w:rsid w:val="7D787377"/>
    <w:rsid w:val="7D803D18"/>
    <w:rsid w:val="7EE8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before="120" w:after="120"/>
      <w:jc w:val="left"/>
    </w:pPr>
    <w:rPr>
      <w:rFonts w:ascii="+西文正文" w:hAnsi="+西文正文" w:eastAsia="+中文正文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2"/>
      </w:tabs>
      <w:spacing w:before="340" w:after="330" w:line="578" w:lineRule="atLeast"/>
      <w:ind w:left="0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正文缩进正文（首行缩进两字）特点ALT+Z表正文正文非缩进四号段1Normal Indent Char2..."/>
    <w:basedOn w:val="1"/>
    <w:qFormat/>
    <w:uiPriority w:val="0"/>
    <w:pPr>
      <w:numPr>
        <w:ilvl w:val="1"/>
        <w:numId w:val="1"/>
      </w:numPr>
      <w:ind w:left="-2977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1357</Characters>
  <Lines>0</Lines>
  <Paragraphs>0</Paragraphs>
  <TotalTime>1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2023-10-16T00:56:00Z</dcterms:created>
  <dc:creator>Administrator</dc:creator>
  <cp:lastModifiedBy>Administrator</cp:lastModifiedBy>
  <dcterms:modified xsi:type="dcterms:W3CDTF">2025-11-17T07:18:05Z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8F1C5B6E3D89463D86E05E53A746AC4B_12</vt:lpwstr>
  </property>
  <property fmtid="{D5CDD505-2E9C-101B-9397-08002B2CF9AE}" pid="4" name="KSOTemplateDocerSaveRecord">
    <vt:lpwstr>eyJoZGlkIjoiNjk2YzQ1OWRmM2Q5N2EwMWE0YjRlNTY5NTFiZjI2ZjUiLCJ1c2VySWQiOiIxODg3ODc4NCJ9</vt:lpwstr>
  </property>
</Properties>
</file>