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黑体" w:hAnsi="黑体" w:eastAsia="黑体" w:cs="黑体"/>
          <w:color w:val="000000"/>
          <w:sz w:val="32"/>
          <w:szCs w:val="32"/>
        </w:rPr>
      </w:pPr>
      <w:r>
        <w:rPr>
          <w:rFonts w:hint="eastAsia" w:ascii="黑体" w:hAnsi="黑体" w:eastAsia="黑体" w:cs="黑体"/>
          <w:color w:val="000000"/>
          <w:sz w:val="32"/>
          <w:szCs w:val="32"/>
        </w:rPr>
        <w:t>附件</w:t>
      </w:r>
    </w:p>
    <w:p>
      <w:pPr>
        <w:adjustRightInd w:val="0"/>
        <w:snapToGrid w:val="0"/>
        <w:jc w:val="center"/>
        <w:rPr>
          <w:rFonts w:ascii="方正小标宋简体" w:eastAsia="方正小标宋简体"/>
          <w:sz w:val="40"/>
          <w:szCs w:val="40"/>
        </w:rPr>
      </w:pPr>
      <w:r>
        <w:rPr>
          <w:rFonts w:hint="eastAsia" w:ascii="方正小标宋简体" w:eastAsia="方正小标宋简体"/>
          <w:sz w:val="40"/>
          <w:szCs w:val="40"/>
        </w:rPr>
        <w:t>城厢区落实区委区政府（区级）为民办实事项目进展情况汇总表</w:t>
      </w:r>
    </w:p>
    <w:tbl>
      <w:tblPr>
        <w:tblStyle w:val="4"/>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316"/>
        <w:gridCol w:w="6770"/>
        <w:gridCol w:w="140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592"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序号</w:t>
            </w:r>
          </w:p>
        </w:tc>
        <w:tc>
          <w:tcPr>
            <w:tcW w:w="1316"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名称</w:t>
            </w:r>
          </w:p>
        </w:tc>
        <w:tc>
          <w:tcPr>
            <w:tcW w:w="6770"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主要内容及投资额</w:t>
            </w:r>
          </w:p>
        </w:tc>
        <w:tc>
          <w:tcPr>
            <w:tcW w:w="1409" w:type="dxa"/>
            <w:vAlign w:val="center"/>
          </w:tcPr>
          <w:p>
            <w:pPr>
              <w:widowControl/>
              <w:adjustRightInd w:val="0"/>
              <w:snapToGrid w:val="0"/>
              <w:rPr>
                <w:rFonts w:ascii="仿宋_GB2312" w:hAnsi="黑体" w:cs="宋体"/>
                <w:b/>
                <w:spacing w:val="-12"/>
                <w:kern w:val="0"/>
                <w:sz w:val="32"/>
                <w:szCs w:val="32"/>
              </w:rPr>
            </w:pPr>
            <w:r>
              <w:rPr>
                <w:rFonts w:hint="eastAsia" w:ascii="仿宋_GB2312" w:hAnsi="黑体" w:cs="宋体"/>
                <w:b/>
                <w:spacing w:val="-12"/>
                <w:kern w:val="0"/>
                <w:sz w:val="32"/>
                <w:szCs w:val="32"/>
              </w:rPr>
              <w:t>主办单位</w:t>
            </w:r>
          </w:p>
        </w:tc>
        <w:tc>
          <w:tcPr>
            <w:tcW w:w="5153" w:type="dxa"/>
            <w:vAlign w:val="center"/>
          </w:tcPr>
          <w:p>
            <w:pPr>
              <w:widowControl/>
              <w:adjustRightInd w:val="0"/>
              <w:snapToGrid w:val="0"/>
              <w:jc w:val="center"/>
              <w:rPr>
                <w:rFonts w:ascii="仿宋_GB2312" w:hAnsi="黑体" w:cs="宋体"/>
                <w:b/>
                <w:kern w:val="0"/>
                <w:sz w:val="32"/>
                <w:szCs w:val="32"/>
              </w:rPr>
            </w:pPr>
            <w:r>
              <w:rPr>
                <w:rFonts w:hint="eastAsia" w:ascii="仿宋_GB2312" w:hAnsi="黑体" w:cs="宋体"/>
                <w:b/>
                <w:kern w:val="0"/>
                <w:sz w:val="32"/>
                <w:szCs w:val="32"/>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一</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幼儿园和小学学位扩容工程</w:t>
            </w:r>
          </w:p>
        </w:tc>
        <w:tc>
          <w:tcPr>
            <w:tcW w:w="6770"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b/>
                <w:color w:val="000000"/>
                <w:sz w:val="28"/>
                <w:szCs w:val="28"/>
              </w:rPr>
              <w:t>建设泗华小学新校区</w:t>
            </w:r>
            <w:r>
              <w:rPr>
                <w:rFonts w:hint="eastAsia" w:ascii="仿宋_GB2312" w:hAnsi="仿宋_GB2312" w:cs="仿宋_GB2312"/>
                <w:color w:val="000000"/>
                <w:sz w:val="28"/>
                <w:szCs w:val="28"/>
              </w:rPr>
              <w:t>，总建筑面积34883㎡，计划投资5100万元；建设泗华幼儿园新校区，建筑面积5861㎡，计划投资1300万元；</w:t>
            </w:r>
            <w:r>
              <w:rPr>
                <w:rFonts w:hint="eastAsia" w:ascii="仿宋_GB2312" w:hAnsi="仿宋_GB2312" w:cs="仿宋_GB2312"/>
                <w:b/>
                <w:color w:val="000000"/>
                <w:sz w:val="28"/>
                <w:szCs w:val="28"/>
              </w:rPr>
              <w:t>建设下黄小学新校区</w:t>
            </w:r>
            <w:r>
              <w:rPr>
                <w:rFonts w:hint="eastAsia" w:ascii="仿宋_GB2312" w:hAnsi="仿宋_GB2312" w:cs="仿宋_GB2312"/>
                <w:color w:val="000000"/>
                <w:sz w:val="28"/>
                <w:szCs w:val="28"/>
              </w:rPr>
              <w:t>，征地15.7亩，建筑面积13575㎡，计划投资3600万元；</w:t>
            </w:r>
            <w:r>
              <w:rPr>
                <w:rFonts w:hint="eastAsia" w:ascii="仿宋_GB2312" w:hAnsi="仿宋_GB2312" w:cs="仿宋_GB2312"/>
                <w:b/>
                <w:color w:val="000000"/>
                <w:sz w:val="28"/>
                <w:szCs w:val="28"/>
              </w:rPr>
              <w:t>实施小区配建幼儿园二次装修改造项目</w:t>
            </w:r>
            <w:r>
              <w:rPr>
                <w:rFonts w:hint="eastAsia" w:ascii="仿宋_GB2312" w:hAnsi="仿宋_GB2312" w:cs="仿宋_GB2312"/>
                <w:color w:val="000000"/>
                <w:sz w:val="28"/>
                <w:szCs w:val="28"/>
              </w:rPr>
              <w:t>，对区第二实验小学附属兰溪大观幼儿园进行改造，计划投资200万元，建筑面积1242㎡。资金安排：总投资约10200万元，由区财政统筹。</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区教育局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ascii="仿宋_GB2312" w:hAnsi="仿宋_GB2312" w:cs="仿宋_GB2312"/>
                <w:color w:val="000000"/>
                <w:sz w:val="28"/>
                <w:szCs w:val="28"/>
              </w:rPr>
              <w:t>泗华小学新校区</w:t>
            </w:r>
            <w:r>
              <w:rPr>
                <w:rFonts w:hint="eastAsia" w:ascii="仿宋_GB2312" w:hAnsi="仿宋_GB2312" w:cs="仿宋_GB2312"/>
                <w:color w:val="000000"/>
                <w:sz w:val="28"/>
                <w:szCs w:val="28"/>
              </w:rPr>
              <w:t>、</w:t>
            </w:r>
            <w:r>
              <w:rPr>
                <w:rFonts w:ascii="仿宋_GB2312" w:hAnsi="仿宋_GB2312" w:cs="仿宋_GB2312"/>
                <w:color w:val="000000"/>
                <w:sz w:val="28"/>
                <w:szCs w:val="28"/>
              </w:rPr>
              <w:t>泗华幼儿园新校区已</w:t>
            </w:r>
            <w:r>
              <w:rPr>
                <w:rFonts w:hint="eastAsia" w:ascii="仿宋_GB2312" w:hAnsi="仿宋_GB2312" w:cs="仿宋_GB2312"/>
                <w:color w:val="000000"/>
                <w:sz w:val="28"/>
                <w:szCs w:val="28"/>
              </w:rPr>
              <w:t>主体</w:t>
            </w:r>
            <w:r>
              <w:rPr>
                <w:rFonts w:ascii="仿宋_GB2312" w:hAnsi="仿宋_GB2312" w:cs="仿宋_GB2312"/>
                <w:color w:val="000000"/>
                <w:sz w:val="28"/>
                <w:szCs w:val="28"/>
              </w:rPr>
              <w:t>封顶，</w:t>
            </w:r>
            <w:r>
              <w:rPr>
                <w:rFonts w:hint="eastAsia" w:ascii="仿宋_GB2312" w:hAnsi="仿宋_GB2312" w:cs="仿宋_GB2312"/>
                <w:color w:val="000000"/>
                <w:sz w:val="28"/>
                <w:szCs w:val="28"/>
              </w:rPr>
              <w:t>正在装修及室外工程建设。</w:t>
            </w:r>
            <w:r>
              <w:rPr>
                <w:rFonts w:ascii="仿宋_GB2312" w:hAnsi="仿宋_GB2312" w:cs="仿宋_GB2312"/>
                <w:color w:val="000000"/>
                <w:sz w:val="28"/>
                <w:szCs w:val="28"/>
              </w:rPr>
              <w:t>下黄小学</w:t>
            </w:r>
            <w:r>
              <w:rPr>
                <w:rFonts w:hint="eastAsia" w:ascii="仿宋_GB2312" w:hAnsi="仿宋_GB2312" w:cs="仿宋_GB2312"/>
                <w:color w:val="000000"/>
                <w:sz w:val="28"/>
                <w:szCs w:val="28"/>
              </w:rPr>
              <w:t>新校区已主体</w:t>
            </w:r>
            <w:r>
              <w:rPr>
                <w:rFonts w:ascii="仿宋_GB2312" w:hAnsi="仿宋_GB2312" w:cs="仿宋_GB2312"/>
                <w:color w:val="000000"/>
                <w:sz w:val="28"/>
                <w:szCs w:val="28"/>
              </w:rPr>
              <w:t>封顶，</w:t>
            </w:r>
            <w:r>
              <w:rPr>
                <w:rFonts w:hint="eastAsia" w:ascii="仿宋_GB2312" w:hAnsi="仿宋_GB2312" w:cs="仿宋_GB2312"/>
                <w:color w:val="000000"/>
                <w:sz w:val="28"/>
                <w:szCs w:val="28"/>
              </w:rPr>
              <w:t>正在装修及室外工程建设</w:t>
            </w:r>
            <w:r>
              <w:rPr>
                <w:rFonts w:ascii="仿宋_GB2312" w:hAnsi="仿宋_GB2312" w:cs="仿宋_GB2312"/>
                <w:color w:val="000000"/>
                <w:sz w:val="28"/>
                <w:szCs w:val="28"/>
              </w:rPr>
              <w:t>；第二实验小学附属兰溪大观幼儿园装修工程</w:t>
            </w:r>
            <w:r>
              <w:rPr>
                <w:rFonts w:hint="eastAsia" w:ascii="仿宋_GB2312" w:hAnsi="仿宋_GB2312" w:cs="仿宋_GB2312"/>
                <w:color w:val="000000"/>
                <w:sz w:val="28"/>
                <w:szCs w:val="28"/>
              </w:rPr>
              <w:t>正在二次装修改造施工</w:t>
            </w:r>
            <w:r>
              <w:rPr>
                <w:rFonts w:ascii="仿宋_GB2312" w:hAnsi="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Merge w:val="restart"/>
            <w:vAlign w:val="center"/>
          </w:tcPr>
          <w:p>
            <w:pPr>
              <w:adjustRightInd w:val="0"/>
              <w:snapToGrid w:val="0"/>
              <w:jc w:val="center"/>
              <w:rPr>
                <w:rFonts w:ascii="仿宋_GB2312"/>
                <w:sz w:val="28"/>
                <w:szCs w:val="28"/>
              </w:rPr>
            </w:pPr>
            <w:r>
              <w:rPr>
                <w:rFonts w:hint="eastAsia" w:ascii="仿宋_GB2312"/>
                <w:sz w:val="28"/>
                <w:szCs w:val="28"/>
              </w:rPr>
              <w:t>二</w:t>
            </w:r>
          </w:p>
        </w:tc>
        <w:tc>
          <w:tcPr>
            <w:tcW w:w="1316" w:type="dxa"/>
            <w:vMerge w:val="restart"/>
            <w:vAlign w:val="center"/>
          </w:tcPr>
          <w:p>
            <w:pPr>
              <w:adjustRightInd w:val="0"/>
              <w:snapToGrid w:val="0"/>
              <w:jc w:val="center"/>
              <w:rPr>
                <w:rFonts w:ascii="仿宋_GB2312"/>
                <w:sz w:val="28"/>
                <w:szCs w:val="28"/>
              </w:rPr>
            </w:pPr>
            <w:r>
              <w:rPr>
                <w:rFonts w:hint="eastAsia" w:ascii="仿宋_GB2312"/>
                <w:sz w:val="28"/>
                <w:szCs w:val="28"/>
              </w:rPr>
              <w:t>社会保障提升工程</w:t>
            </w:r>
          </w:p>
        </w:tc>
        <w:tc>
          <w:tcPr>
            <w:tcW w:w="6770"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b/>
                <w:color w:val="000000"/>
                <w:sz w:val="28"/>
                <w:szCs w:val="28"/>
              </w:rPr>
              <w:t>（一）职业技能提升工程。</w:t>
            </w:r>
            <w:r>
              <w:rPr>
                <w:rFonts w:hint="eastAsia" w:ascii="仿宋_GB2312" w:hAnsi="仿宋_GB2312" w:cs="仿宋_GB2312"/>
                <w:color w:val="000000"/>
                <w:sz w:val="28"/>
                <w:szCs w:val="28"/>
              </w:rPr>
              <w:t>大力推行终身职业技能培训制度，发挥企业主体作用，社会机构支持作用，面向职工、就业重点群体、建档立卡贫困劳动力等各类劳动者，开展职业技能培训，2020年计划开展各类补贴性职业技能培训4200人次。资金安排：需投资约200万元，由区财政统筹。</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区人社局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lang w:eastAsia="zh-CN"/>
              </w:rPr>
              <w:t>截至</w:t>
            </w:r>
            <w:bookmarkStart w:id="0" w:name="_GoBack"/>
            <w:bookmarkEnd w:id="0"/>
            <w:r>
              <w:rPr>
                <w:rFonts w:hint="eastAsia" w:ascii="仿宋_GB2312" w:hAnsi="仿宋_GB2312" w:cs="仿宋_GB2312"/>
                <w:color w:val="000000"/>
                <w:sz w:val="28"/>
                <w:szCs w:val="28"/>
              </w:rPr>
              <w:t>六月份底全区共开展补贴性培训492人次（其中人社局开展304人次，工信局开展188人次），占全年计划11.7%，共发放补贴金额33.65万元,另有见证补贴13人完成系统比对。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spacing w:line="204" w:lineRule="auto"/>
              <w:jc w:val="left"/>
              <w:rPr>
                <w:rFonts w:ascii="仿宋_GB2312"/>
                <w:sz w:val="28"/>
                <w:szCs w:val="28"/>
              </w:rPr>
            </w:pPr>
            <w:r>
              <w:rPr>
                <w:rFonts w:hint="eastAsia" w:ascii="仿宋_GB2312" w:hAnsi="仿宋_GB2312" w:cs="仿宋_GB2312"/>
                <w:b/>
                <w:color w:val="000000"/>
                <w:sz w:val="28"/>
                <w:szCs w:val="28"/>
              </w:rPr>
              <w:t>（二）提高残疾人“两项补贴”标准。</w:t>
            </w:r>
            <w:r>
              <w:rPr>
                <w:rFonts w:hint="eastAsia" w:ascii="仿宋_GB2312" w:hAnsi="仿宋_GB2312" w:cs="仿宋_GB2312"/>
                <w:color w:val="000000"/>
                <w:sz w:val="28"/>
                <w:szCs w:val="28"/>
              </w:rPr>
              <w:t>从2020年1月起，提高残疾人“两项补贴”标准，增幅不低于10%（补助标准按省上规定标准执行，省上标准增幅不足10%的，我市按10%增长）。资金安排：生活补贴，预计投资约410万元，其中，省财政已下达资金237万元，市财政预算资金33.6万元，区财政预算筹措134.4万元。护理补贴，预计投资约480万元，其中，省财政已下达资金278万元，市财政预算资金39.648万元，区财政预算筹措158.592万元。</w:t>
            </w:r>
          </w:p>
        </w:tc>
        <w:tc>
          <w:tcPr>
            <w:tcW w:w="1409" w:type="dxa"/>
            <w:vAlign w:val="center"/>
          </w:tcPr>
          <w:p>
            <w:pPr>
              <w:adjustRightInd w:val="0"/>
              <w:snapToGrid w:val="0"/>
              <w:rPr>
                <w:rFonts w:ascii="仿宋_GB2312"/>
                <w:sz w:val="28"/>
                <w:szCs w:val="28"/>
              </w:rPr>
            </w:pPr>
            <w:r>
              <w:rPr>
                <w:rFonts w:hint="eastAsia" w:ascii="仿宋_GB2312"/>
                <w:sz w:val="28"/>
                <w:szCs w:val="28"/>
              </w:rPr>
              <w:t>区民政局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ascii="仿宋_GB2312" w:hAnsi="仿宋_GB2312" w:cs="仿宋_GB2312"/>
                <w:color w:val="000000"/>
                <w:sz w:val="28"/>
                <w:szCs w:val="28"/>
              </w:rPr>
              <w:t>1.生活补贴：1月份困难残疾人生活补贴共计4882人，共救助34.398万元。2月、3月、4月</w:t>
            </w:r>
            <w:r>
              <w:rPr>
                <w:rFonts w:hint="eastAsia" w:ascii="仿宋_GB2312" w:hAnsi="仿宋_GB2312" w:cs="仿宋_GB2312"/>
                <w:color w:val="000000"/>
                <w:sz w:val="28"/>
                <w:szCs w:val="28"/>
              </w:rPr>
              <w:t>、</w:t>
            </w:r>
            <w:r>
              <w:rPr>
                <w:rFonts w:ascii="仿宋_GB2312" w:hAnsi="仿宋_GB2312" w:cs="仿宋_GB2312"/>
                <w:color w:val="000000"/>
                <w:sz w:val="28"/>
                <w:szCs w:val="28"/>
              </w:rPr>
              <w:t>5月</w:t>
            </w:r>
            <w:r>
              <w:rPr>
                <w:rFonts w:hint="eastAsia" w:ascii="仿宋_GB2312" w:hAnsi="仿宋_GB2312" w:cs="仿宋_GB2312"/>
                <w:color w:val="000000"/>
                <w:sz w:val="28"/>
                <w:szCs w:val="28"/>
              </w:rPr>
              <w:t>和6月份</w:t>
            </w:r>
            <w:r>
              <w:rPr>
                <w:rFonts w:ascii="仿宋_GB2312" w:hAnsi="仿宋_GB2312" w:cs="仿宋_GB2312"/>
                <w:color w:val="000000"/>
                <w:sz w:val="28"/>
                <w:szCs w:val="28"/>
              </w:rPr>
              <w:t>份补贴分别为4869人、4851人、4848人</w:t>
            </w:r>
            <w:r>
              <w:rPr>
                <w:rFonts w:hint="eastAsia" w:ascii="仿宋_GB2312" w:hAnsi="仿宋_GB2312" w:cs="仿宋_GB2312"/>
                <w:color w:val="000000"/>
                <w:sz w:val="28"/>
                <w:szCs w:val="28"/>
              </w:rPr>
              <w:t>、</w:t>
            </w:r>
            <w:r>
              <w:rPr>
                <w:rFonts w:ascii="仿宋_GB2312" w:hAnsi="仿宋_GB2312" w:cs="仿宋_GB2312"/>
                <w:color w:val="000000"/>
                <w:sz w:val="28"/>
                <w:szCs w:val="28"/>
              </w:rPr>
              <w:t>4858人</w:t>
            </w:r>
            <w:r>
              <w:rPr>
                <w:rFonts w:hint="eastAsia" w:ascii="仿宋_GB2312" w:hAnsi="仿宋_GB2312" w:cs="仿宋_GB2312"/>
                <w:color w:val="000000"/>
                <w:sz w:val="28"/>
                <w:szCs w:val="28"/>
              </w:rPr>
              <w:t>和4869人</w:t>
            </w:r>
            <w:r>
              <w:rPr>
                <w:rFonts w:ascii="仿宋_GB2312" w:hAnsi="仿宋_GB2312" w:cs="仿宋_GB2312"/>
                <w:color w:val="000000"/>
                <w:sz w:val="28"/>
                <w:szCs w:val="28"/>
              </w:rPr>
              <w:t>，分别发放资金34.097万元、48.492万元、38.808万元</w:t>
            </w:r>
            <w:r>
              <w:rPr>
                <w:rFonts w:hint="eastAsia" w:ascii="仿宋_GB2312" w:hAnsi="仿宋_GB2312" w:cs="仿宋_GB2312"/>
                <w:color w:val="000000"/>
                <w:sz w:val="28"/>
                <w:szCs w:val="28"/>
              </w:rPr>
              <w:t>、</w:t>
            </w:r>
            <w:r>
              <w:rPr>
                <w:rFonts w:ascii="仿宋_GB2312" w:hAnsi="仿宋_GB2312" w:cs="仿宋_GB2312"/>
                <w:color w:val="000000"/>
                <w:sz w:val="28"/>
                <w:szCs w:val="28"/>
              </w:rPr>
              <w:t>38.92万元</w:t>
            </w:r>
            <w:r>
              <w:rPr>
                <w:rFonts w:hint="eastAsia" w:ascii="仿宋_GB2312" w:hAnsi="仿宋_GB2312" w:cs="仿宋_GB2312"/>
                <w:color w:val="000000"/>
                <w:sz w:val="28"/>
                <w:szCs w:val="28"/>
              </w:rPr>
              <w:t>和39万元</w:t>
            </w:r>
            <w:r>
              <w:rPr>
                <w:rFonts w:ascii="仿宋_GB2312" w:hAnsi="仿宋_GB2312" w:cs="仿宋_GB2312"/>
                <w:color w:val="000000"/>
                <w:sz w:val="28"/>
                <w:szCs w:val="28"/>
              </w:rPr>
              <w:t>，1-</w:t>
            </w:r>
            <w:r>
              <w:rPr>
                <w:rFonts w:hint="eastAsia" w:ascii="仿宋_GB2312" w:hAnsi="仿宋_GB2312" w:cs="仿宋_GB2312"/>
                <w:color w:val="000000"/>
                <w:sz w:val="28"/>
                <w:szCs w:val="28"/>
              </w:rPr>
              <w:t>6</w:t>
            </w:r>
            <w:r>
              <w:rPr>
                <w:rFonts w:ascii="仿宋_GB2312" w:hAnsi="仿宋_GB2312" w:cs="仿宋_GB2312"/>
                <w:color w:val="000000"/>
                <w:sz w:val="28"/>
                <w:szCs w:val="28"/>
              </w:rPr>
              <w:t>月份共计发放</w:t>
            </w:r>
            <w:r>
              <w:rPr>
                <w:rFonts w:hint="eastAsia" w:ascii="仿宋_GB2312" w:hAnsi="仿宋_GB2312" w:cs="仿宋_GB2312"/>
                <w:color w:val="000000"/>
                <w:sz w:val="28"/>
                <w:szCs w:val="28"/>
              </w:rPr>
              <w:t>233.715</w:t>
            </w:r>
            <w:r>
              <w:rPr>
                <w:rFonts w:ascii="仿宋_GB2312" w:hAnsi="仿宋_GB2312" w:cs="仿宋_GB2312"/>
                <w:color w:val="000000"/>
                <w:sz w:val="28"/>
                <w:szCs w:val="28"/>
              </w:rPr>
              <w:t>万元；2.护理补贴：1月份重度残疾人护理补贴共计5186人，共救助40.301万元。2月、3月、4月</w:t>
            </w:r>
            <w:r>
              <w:rPr>
                <w:rFonts w:hint="eastAsia" w:ascii="仿宋_GB2312" w:hAnsi="仿宋_GB2312" w:cs="仿宋_GB2312"/>
                <w:color w:val="000000"/>
                <w:sz w:val="28"/>
                <w:szCs w:val="28"/>
              </w:rPr>
              <w:t>、</w:t>
            </w:r>
            <w:r>
              <w:rPr>
                <w:rFonts w:ascii="仿宋_GB2312" w:hAnsi="仿宋_GB2312" w:cs="仿宋_GB2312"/>
                <w:color w:val="000000"/>
                <w:sz w:val="28"/>
                <w:szCs w:val="28"/>
              </w:rPr>
              <w:t>5月份</w:t>
            </w:r>
            <w:r>
              <w:rPr>
                <w:rFonts w:hint="eastAsia" w:ascii="仿宋_GB2312" w:hAnsi="仿宋_GB2312" w:cs="仿宋_GB2312"/>
                <w:color w:val="000000"/>
                <w:sz w:val="28"/>
                <w:szCs w:val="28"/>
              </w:rPr>
              <w:t>和6月份</w:t>
            </w:r>
            <w:r>
              <w:rPr>
                <w:rFonts w:ascii="仿宋_GB2312" w:hAnsi="仿宋_GB2312" w:cs="仿宋_GB2312"/>
                <w:color w:val="000000"/>
                <w:sz w:val="28"/>
                <w:szCs w:val="28"/>
              </w:rPr>
              <w:t>分别补助5180人、5163人、5163人</w:t>
            </w:r>
            <w:r>
              <w:rPr>
                <w:rFonts w:hint="eastAsia" w:ascii="仿宋_GB2312" w:hAnsi="仿宋_GB2312" w:cs="仿宋_GB2312"/>
                <w:color w:val="000000"/>
                <w:sz w:val="28"/>
                <w:szCs w:val="28"/>
              </w:rPr>
              <w:t>、</w:t>
            </w:r>
            <w:r>
              <w:rPr>
                <w:rFonts w:ascii="仿宋_GB2312" w:hAnsi="仿宋_GB2312" w:cs="仿宋_GB2312"/>
                <w:color w:val="000000"/>
                <w:sz w:val="28"/>
                <w:szCs w:val="28"/>
              </w:rPr>
              <w:t>5175人</w:t>
            </w:r>
            <w:r>
              <w:rPr>
                <w:rFonts w:hint="eastAsia" w:ascii="仿宋_GB2312" w:hAnsi="仿宋_GB2312" w:cs="仿宋_GB2312"/>
                <w:color w:val="000000"/>
                <w:sz w:val="28"/>
                <w:szCs w:val="28"/>
              </w:rPr>
              <w:t>和5183人</w:t>
            </w:r>
            <w:r>
              <w:rPr>
                <w:rFonts w:ascii="仿宋_GB2312" w:hAnsi="仿宋_GB2312" w:cs="仿宋_GB2312"/>
                <w:color w:val="000000"/>
                <w:sz w:val="28"/>
                <w:szCs w:val="28"/>
              </w:rPr>
              <w:t>，分别发放资金40.144万元、70.5585万元、50.2175万元</w:t>
            </w:r>
            <w:r>
              <w:rPr>
                <w:rFonts w:hint="eastAsia" w:ascii="仿宋_GB2312" w:hAnsi="仿宋_GB2312" w:cs="仿宋_GB2312"/>
                <w:color w:val="000000"/>
                <w:sz w:val="28"/>
                <w:szCs w:val="28"/>
              </w:rPr>
              <w:t>、</w:t>
            </w:r>
            <w:r>
              <w:rPr>
                <w:rFonts w:ascii="仿宋_GB2312" w:hAnsi="仿宋_GB2312" w:cs="仿宋_GB2312"/>
                <w:color w:val="000000"/>
                <w:sz w:val="28"/>
                <w:szCs w:val="28"/>
              </w:rPr>
              <w:t>50.335万元</w:t>
            </w:r>
            <w:r>
              <w:rPr>
                <w:rFonts w:hint="eastAsia" w:ascii="仿宋_GB2312" w:hAnsi="仿宋_GB2312" w:cs="仿宋_GB2312"/>
                <w:color w:val="000000"/>
                <w:sz w:val="28"/>
                <w:szCs w:val="28"/>
              </w:rPr>
              <w:t>和50.3955万元</w:t>
            </w:r>
            <w:r>
              <w:rPr>
                <w:rFonts w:ascii="仿宋_GB2312" w:hAnsi="仿宋_GB2312" w:cs="仿宋_GB2312"/>
                <w:color w:val="000000"/>
                <w:sz w:val="28"/>
                <w:szCs w:val="28"/>
              </w:rPr>
              <w:t>，1-</w:t>
            </w:r>
            <w:r>
              <w:rPr>
                <w:rFonts w:hint="eastAsia" w:ascii="仿宋_GB2312" w:hAnsi="仿宋_GB2312" w:cs="仿宋_GB2312"/>
                <w:color w:val="000000"/>
                <w:sz w:val="28"/>
                <w:szCs w:val="28"/>
              </w:rPr>
              <w:t>6</w:t>
            </w:r>
            <w:r>
              <w:rPr>
                <w:rFonts w:ascii="仿宋_GB2312" w:hAnsi="仿宋_GB2312" w:cs="仿宋_GB2312"/>
                <w:color w:val="000000"/>
                <w:sz w:val="28"/>
                <w:szCs w:val="28"/>
              </w:rPr>
              <w:t>月份共计发放补助</w:t>
            </w:r>
            <w:r>
              <w:rPr>
                <w:rFonts w:hint="eastAsia" w:ascii="仿宋_GB2312" w:hAnsi="仿宋_GB2312" w:cs="仿宋_GB2312"/>
                <w:color w:val="000000"/>
                <w:sz w:val="28"/>
                <w:szCs w:val="28"/>
              </w:rPr>
              <w:t>301.9515</w:t>
            </w:r>
            <w:r>
              <w:rPr>
                <w:rFonts w:ascii="仿宋_GB2312" w:hAnsi="仿宋_GB2312" w:cs="仿宋_GB2312"/>
                <w:color w:val="00000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jc w:val="left"/>
              <w:rPr>
                <w:rFonts w:ascii="仿宋_GB2312"/>
                <w:sz w:val="28"/>
                <w:szCs w:val="28"/>
              </w:rPr>
            </w:pPr>
            <w:r>
              <w:rPr>
                <w:rFonts w:hint="eastAsia" w:ascii="仿宋_GB2312" w:hAnsi="仿宋_GB2312" w:cs="仿宋_GB2312"/>
                <w:b/>
                <w:color w:val="000000"/>
                <w:sz w:val="28"/>
                <w:szCs w:val="28"/>
              </w:rPr>
              <w:t>（三）扶残助残工程。</w:t>
            </w:r>
            <w:r>
              <w:rPr>
                <w:rFonts w:hint="eastAsia" w:ascii="仿宋_GB2312" w:hAnsi="仿宋_GB2312" w:cs="仿宋_GB2312"/>
                <w:color w:val="000000"/>
                <w:sz w:val="28"/>
                <w:szCs w:val="28"/>
              </w:rPr>
              <w:t>就业扶助，举办就业培训班或劳动就业招聘会，免费为50人次残疾人举办实用技术（职业技能）培训班或劳动就业招聘会，增强残疾人就业能力和劳动技能，搭建劳动就业供需平台，提高残疾人就业率；居家养护扶助，为150名精神残疾人、智力残疾人或精准扶贫挂钩户的残疾人及其他类别重度残疾人补助居家护理费用。资金安排：需区财政承担31万元，其中：就业扶助需区级资金1万元，居家养护扶助需区级资金30万元，从残疾人就业保障金列支。</w:t>
            </w:r>
          </w:p>
        </w:tc>
        <w:tc>
          <w:tcPr>
            <w:tcW w:w="1409" w:type="dxa"/>
            <w:vAlign w:val="center"/>
          </w:tcPr>
          <w:p>
            <w:pPr>
              <w:adjustRightInd w:val="0"/>
              <w:snapToGrid w:val="0"/>
              <w:rPr>
                <w:rFonts w:ascii="仿宋_GB2312"/>
                <w:sz w:val="28"/>
                <w:szCs w:val="28"/>
              </w:rPr>
            </w:pPr>
            <w:r>
              <w:rPr>
                <w:rFonts w:hint="eastAsia" w:ascii="仿宋_GB2312"/>
                <w:sz w:val="28"/>
                <w:szCs w:val="28"/>
              </w:rPr>
              <w:t>区残联</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1-6月线上免费培训82人，居家养护扶助及就业扶助正在对残疾人已公示完毕等过理事会,推荐残疾人参加市残联举办的网上招聘。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三</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安防保障提升工程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（一）过保视频探头维护及光纤专线联网。</w:t>
            </w:r>
            <w:r>
              <w:rPr>
                <w:rFonts w:hint="eastAsia" w:ascii="仿宋_GB2312" w:hAnsi="仿宋_GB2312" w:cs="仿宋_GB2312"/>
                <w:color w:val="000000"/>
                <w:sz w:val="28"/>
                <w:szCs w:val="28"/>
              </w:rPr>
              <w:t>过保视频探头维护189个，过保车辆卡口维护1个，建设光纤专线联网573条。</w:t>
            </w:r>
            <w:r>
              <w:rPr>
                <w:rFonts w:hint="eastAsia" w:ascii="仿宋_GB2312" w:hAnsi="仿宋_GB2312" w:cs="仿宋_GB2312"/>
                <w:b/>
                <w:color w:val="000000"/>
                <w:sz w:val="28"/>
                <w:szCs w:val="28"/>
              </w:rPr>
              <w:t>（二）视频探头建设。</w:t>
            </w:r>
            <w:r>
              <w:rPr>
                <w:rFonts w:hint="eastAsia" w:ascii="仿宋_GB2312" w:hAnsi="仿宋_GB2312" w:cs="仿宋_GB2312"/>
                <w:color w:val="000000"/>
                <w:sz w:val="28"/>
                <w:szCs w:val="28"/>
              </w:rPr>
              <w:t>新建路面视频探头332个、电子小区视频探头2500个、人像识别探头100个及联网。资金安排：以上二项，由区财政配套305万元。</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区公安</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分局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已全部完成189个过保视频探头维护；1个过保车辆卡口、573条光纤专线联网：正在准备招投标前期工作；路面视频探头332个：已完成255个；电子小区视频探头2500个：已完成600个；人像识别探头100个：已完成。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92" w:type="dxa"/>
            <w:vAlign w:val="center"/>
          </w:tcPr>
          <w:p>
            <w:pPr>
              <w:adjustRightInd w:val="0"/>
              <w:snapToGrid w:val="0"/>
              <w:jc w:val="center"/>
              <w:rPr>
                <w:rFonts w:ascii="仿宋_GB2312" w:hAnsi="黑体" w:cs="宋体"/>
                <w:b/>
                <w:kern w:val="0"/>
                <w:sz w:val="32"/>
                <w:szCs w:val="32"/>
              </w:rPr>
            </w:pPr>
            <w:r>
              <w:rPr>
                <w:rFonts w:hint="eastAsia" w:ascii="仿宋_GB2312"/>
                <w:sz w:val="28"/>
                <w:szCs w:val="28"/>
              </w:rPr>
              <w:t>四</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道路交通文明畅通提升工程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（一）道路交通安全综合整治。</w:t>
            </w:r>
            <w:r>
              <w:rPr>
                <w:rFonts w:hint="eastAsia" w:ascii="仿宋_GB2312" w:hAnsi="仿宋_GB2312" w:cs="仿宋_GB2312"/>
                <w:color w:val="000000"/>
                <w:sz w:val="28"/>
                <w:szCs w:val="28"/>
              </w:rPr>
              <w:t>1.为营造行人车辆各行其道、安全畅通的城市道路交通环境，采购违停球、无人机，约需资金230万元；2.在荔城路人行横道路段，建设机动车雷达测速系统与交通诱导屏，约需资金120万元；3.在笏枫线设置3段区间测速（6个测速卡口），每个测速卡口费用约需19万元，光纤联网费用三年约28080元，共需资金约116.8万元。资金安排：区财政划拨466.8万元配套资金予以支持。</w:t>
            </w:r>
          </w:p>
          <w:p>
            <w:pPr>
              <w:adjustRightInd w:val="0"/>
              <w:snapToGrid w:val="0"/>
              <w:jc w:val="left"/>
              <w:rPr>
                <w:rFonts w:ascii="仿宋_GB2312"/>
                <w:sz w:val="28"/>
                <w:szCs w:val="28"/>
              </w:rPr>
            </w:pPr>
            <w:r>
              <w:rPr>
                <w:rFonts w:hint="eastAsia" w:ascii="仿宋_GB2312" w:hAnsi="仿宋_GB2312" w:cs="仿宋_GB2312"/>
                <w:b/>
                <w:color w:val="000000"/>
                <w:sz w:val="28"/>
                <w:szCs w:val="28"/>
              </w:rPr>
              <w:t>（二）灯控等设备采购及维护。</w:t>
            </w:r>
            <w:r>
              <w:rPr>
                <w:rFonts w:hint="eastAsia" w:ascii="仿宋_GB2312" w:hAnsi="仿宋_GB2312" w:cs="仿宋_GB2312"/>
                <w:color w:val="000000"/>
                <w:sz w:val="28"/>
                <w:szCs w:val="28"/>
              </w:rPr>
              <w:t>1.增设交通信号灯、闪光警号灯，约需资金80万元；2.在辖区学校、企业周边建设人脸识别探头50个及联网费用，约需资金60万元；3.过保视频维护及光纤专线联网。主城区背街小巷监控探头（其中包含200W网络高清摄像机236台、移动布控球机4台、道路监控摄像机3台、球机10台，LCD拼接屏15台、视频综合平台1台、高清会议摄像机1台）维护三年,租用农村电子劝导站监控55条视频专线网络服务36个月费用，共计需要资金约78万元。资金安排：区财政划拨218万元配套资金予以支持。</w:t>
            </w:r>
          </w:p>
        </w:tc>
        <w:tc>
          <w:tcPr>
            <w:tcW w:w="1409" w:type="dxa"/>
            <w:vAlign w:val="center"/>
          </w:tcPr>
          <w:p>
            <w:pPr>
              <w:adjustRightInd w:val="0"/>
              <w:snapToGrid w:val="0"/>
              <w:rPr>
                <w:rFonts w:ascii="仿宋_GB2312"/>
                <w:spacing w:val="-4"/>
                <w:sz w:val="28"/>
                <w:szCs w:val="28"/>
              </w:rPr>
            </w:pPr>
            <w:r>
              <w:rPr>
                <w:rFonts w:hint="eastAsia" w:ascii="仿宋_GB2312"/>
                <w:spacing w:val="-4"/>
                <w:sz w:val="28"/>
                <w:szCs w:val="28"/>
              </w:rPr>
              <w:t>区道安办</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一）道路交通安全综合整治。1.采购违停球、无人机项目第一期已完成招投标，正在施工，预计第一期投入资金1732300元;2在荔城路人行横道路段建设机动车雷达测速系统与交通诱导屏项目，已完成招投标，正在施工中，预计投入资金120万元;3.在笏枫线设置3段区间测速(6个测速卡口)项目，已完成招投标，正在施工中。</w:t>
            </w:r>
          </w:p>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二）灯控等设备采购及维护。1.增设交通信号火灯、闪光警号灯项目第一期已完成并投入使用，第二期红绿灯控及配套设施采购已完成招投标，正在施工，预计投入资金50万元；2、在辖区学校、企业周边建设人脸识别探头50个及联网专线项目正在招标；3、过保视频维护及光纤专线联网项目已完成，投入资金769468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92" w:type="dxa"/>
            <w:vAlign w:val="center"/>
          </w:tcPr>
          <w:p>
            <w:pPr>
              <w:adjustRightInd w:val="0"/>
              <w:snapToGrid w:val="0"/>
              <w:jc w:val="center"/>
              <w:rPr>
                <w:rFonts w:ascii="仿宋_GB2312" w:hAnsi="黑体" w:cs="宋体"/>
                <w:b/>
                <w:kern w:val="0"/>
                <w:sz w:val="32"/>
                <w:szCs w:val="32"/>
              </w:rPr>
            </w:pPr>
            <w:r>
              <w:rPr>
                <w:rFonts w:hint="eastAsia" w:ascii="仿宋_GB2312"/>
                <w:sz w:val="28"/>
                <w:szCs w:val="28"/>
              </w:rPr>
              <w:t>五</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养老服务工程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（一）4个农村幸福院建设。</w:t>
            </w:r>
            <w:r>
              <w:rPr>
                <w:rFonts w:hint="eastAsia" w:ascii="仿宋_GB2312" w:hAnsi="仿宋_GB2312" w:cs="仿宋_GB2312"/>
                <w:color w:val="000000"/>
                <w:sz w:val="28"/>
                <w:szCs w:val="28"/>
              </w:rPr>
              <w:t>2020年，全区计划新建4所农村幸福院（含省级下达指标）。资金安排：需投资64万元，其中：省级补助34万元，市级补助20万元，区级财政10万元。</w:t>
            </w:r>
          </w:p>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（二）购买居家养老服务。</w:t>
            </w:r>
            <w:r>
              <w:rPr>
                <w:rFonts w:hint="eastAsia" w:ascii="仿宋_GB2312" w:hAnsi="仿宋_GB2312" w:cs="仿宋_GB2312"/>
                <w:color w:val="000000"/>
                <w:sz w:val="28"/>
                <w:szCs w:val="28"/>
              </w:rPr>
              <w:t>计划为全区“七类老年人”（包括特困供养人员、低保对象、建档立卡的贫困人口、重点优抚对象、计划生育特殊家庭成员、重度残疾人中的老年人和80周岁以上老年人）购买居家养老服务。资金安排：需投资360万元，市区财政两级按1:1配套。</w:t>
            </w:r>
          </w:p>
          <w:p>
            <w:pPr>
              <w:adjustRightInd w:val="0"/>
              <w:snapToGrid w:val="0"/>
              <w:jc w:val="left"/>
              <w:rPr>
                <w:rFonts w:ascii="仿宋_GB2312"/>
                <w:sz w:val="28"/>
                <w:szCs w:val="28"/>
              </w:rPr>
            </w:pPr>
            <w:r>
              <w:rPr>
                <w:rFonts w:hint="eastAsia" w:ascii="仿宋_GB2312" w:hAnsi="仿宋_GB2312" w:cs="仿宋_GB2312"/>
                <w:b/>
                <w:color w:val="000000"/>
                <w:sz w:val="28"/>
                <w:szCs w:val="28"/>
              </w:rPr>
              <w:t>（三）农村区域性养老服务中心项目。</w:t>
            </w:r>
            <w:r>
              <w:rPr>
                <w:rFonts w:hint="eastAsia" w:ascii="仿宋_GB2312" w:hAnsi="仿宋_GB2312" w:cs="仿宋_GB2312"/>
                <w:color w:val="000000"/>
                <w:sz w:val="28"/>
                <w:szCs w:val="28"/>
              </w:rPr>
              <w:t>改造建设1所农村区域性养老服务中心，建成护理型床位占床位比例超过60%的养老机构。资金安排：需投资100万元，由中央福利彩票金中列支。</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区民政局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（一）4个农村幸福院。已选定灵川镇青山村农村幸福院、东海镇蔡厝村农村幸福院、灵川镇下尾村农村幸福院、常太镇下莒村农村幸福院项目点，目前正在外部房屋修缮中、外墙装修。</w:t>
            </w:r>
          </w:p>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（二）委托禾康智慧居家养老服务公司为全区七类老年人开展居家养老信息化服务，目前已服务老年人4810人，并做好人员动态更新。</w:t>
            </w:r>
          </w:p>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（三）明确灵川镇敬老院（医养结合）为农村区域性养老服务中心项目，目前正在电梯装修和第三方运营机构洽谈中。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六</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口袋公园建设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2020年全区计划建设口袋公园5个。资金安排：需投资300万元，由区财政承担。</w:t>
            </w:r>
          </w:p>
        </w:tc>
        <w:tc>
          <w:tcPr>
            <w:tcW w:w="1409"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区住建局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已选址确定口袋公园建设位置，完成前期地形测量、方案及施工图设计，其中洋西八期口袋公园已完成建设，泗华村口袋公园在施工图修改中，园头口袋公园及桂山口袋公园施工、监理正在招标中。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七</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食品安全放心工程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（一）治理“餐桌污染” 建设“食品放心工程”。</w:t>
            </w:r>
            <w:r>
              <w:rPr>
                <w:rFonts w:hint="eastAsia" w:ascii="仿宋_GB2312" w:hAnsi="仿宋_GB2312" w:cs="仿宋_GB2312"/>
                <w:color w:val="000000"/>
                <w:sz w:val="28"/>
                <w:szCs w:val="28"/>
              </w:rPr>
              <w:t>1.加强食品和食用农产品安全监管。重点围绕与人民群众关系密切的“五类产品、一个行业”主要食品污染，开展日常监管、专项治理、检验检测、食品安全宣传、食品举报奖励等，严厉查处食品安全违法违规行为，切实防范区域性、系统性重大食品安全问题，推进国家食品安全示范城市创建工作。2.开展校园及周边食品安全整治。加大监管与宣传力度，强化食品经营主体责任，加强监督抽检，严厉查处销售劣质食品行为，规范校园及周边食品消费秩序。3.开展放心肉菜示范超市创建工作。组织有基础条件的大型超市先行先试，培育一批设施完善、制度健全、管理严格、诚实守信的“放心肉菜示范超市”，以点带面，推动流通环节食用农产品质量安全水平提升。4.持续深入开展全省食品安全“一品一码”全过程追溯体系建设。5.继续做好食品污染物及食品中有害因素监测、食源性疾病监测等工作，完善食品安全风险监测网络。资金安排：需投资170万元，由区财政承担。</w:t>
            </w:r>
          </w:p>
          <w:p>
            <w:pPr>
              <w:adjustRightInd w:val="0"/>
              <w:snapToGrid w:val="0"/>
              <w:jc w:val="left"/>
              <w:rPr>
                <w:rFonts w:ascii="仿宋_GB2312"/>
                <w:sz w:val="28"/>
                <w:szCs w:val="28"/>
              </w:rPr>
            </w:pPr>
            <w:r>
              <w:rPr>
                <w:rFonts w:hint="eastAsia" w:ascii="仿宋_GB2312" w:hAnsi="仿宋_GB2312" w:cs="仿宋_GB2312"/>
                <w:b/>
                <w:color w:val="000000"/>
                <w:sz w:val="28"/>
                <w:szCs w:val="28"/>
              </w:rPr>
              <w:t>（二）“互联网+明厨亮灶”建设工程</w:t>
            </w:r>
            <w:r>
              <w:rPr>
                <w:rFonts w:hint="eastAsia" w:ascii="仿宋_GB2312" w:hAnsi="仿宋_GB2312" w:cs="仿宋_GB2312"/>
                <w:color w:val="000000"/>
                <w:sz w:val="28"/>
                <w:szCs w:val="28"/>
              </w:rPr>
              <w:t>。督促餐饮单位落实主体责任，提升从业人员食品安全意识，提高监管效率，大力推进校园食品安全社会共治，开展“互联网</w:t>
            </w:r>
            <w:r>
              <w:rPr>
                <w:rFonts w:ascii="仿宋_GB2312" w:hAnsi="仿宋_GB2312" w:cs="仿宋_GB2312"/>
                <w:color w:val="000000"/>
                <w:sz w:val="28"/>
                <w:szCs w:val="28"/>
              </w:rPr>
              <w:t>+</w:t>
            </w:r>
            <w:r>
              <w:rPr>
                <w:rFonts w:hint="eastAsia" w:ascii="仿宋_GB2312" w:hAnsi="仿宋_GB2312" w:cs="仿宋_GB2312"/>
                <w:color w:val="000000"/>
                <w:sz w:val="28"/>
                <w:szCs w:val="28"/>
              </w:rPr>
              <w:t>明厨亮灶”升级建设工作。</w:t>
            </w:r>
            <w:r>
              <w:rPr>
                <w:rFonts w:ascii="仿宋_GB2312" w:hAnsi="仿宋_GB2312" w:cs="仿宋_GB2312"/>
                <w:color w:val="000000"/>
                <w:sz w:val="28"/>
                <w:szCs w:val="28"/>
              </w:rPr>
              <w:t>2020</w:t>
            </w:r>
            <w:r>
              <w:rPr>
                <w:rFonts w:hint="eastAsia" w:ascii="仿宋_GB2312" w:hAnsi="仿宋_GB2312" w:cs="仿宋_GB2312"/>
                <w:color w:val="000000"/>
                <w:sz w:val="28"/>
                <w:szCs w:val="28"/>
              </w:rPr>
              <w:t>年争取全区学校食堂、集体配餐单位、大型以上餐饮服务单位纳入“智慧食安</w:t>
            </w:r>
            <w:r>
              <w:rPr>
                <w:rFonts w:hint="cs" w:ascii="仿宋_GB2312" w:hAnsi="仿宋_GB2312" w:cs="仿宋_GB2312"/>
                <w:color w:val="000000"/>
                <w:sz w:val="28"/>
                <w:szCs w:val="28"/>
              </w:rPr>
              <w:t>•</w:t>
            </w:r>
            <w:r>
              <w:rPr>
                <w:rFonts w:hint="eastAsia" w:ascii="仿宋_GB2312" w:hAnsi="仿宋_GB2312" w:cs="仿宋_GB2312"/>
                <w:color w:val="000000"/>
                <w:sz w:val="28"/>
                <w:szCs w:val="28"/>
              </w:rPr>
              <w:t>明厨亮灶”监管平台。资金安排：需投资50万元，由区财政承担。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区食安办</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一）1月-6月，全区累计检查食品生产经营主体909家，开展食品监督抽查362批次，蔬菜、水果农残快检1064批次（生产、流通），生猪肉“瘦肉精”、“莱克多巴胺”残留检测各2775批次，合格率均99.2%。移送查处线索10条；检查学校食堂、供餐单位及校园周边食品经营者193户次，抽检食品6件，排查发现风险隐患数量9个，限期整改9个，组织学校食堂食品生产经营者食品安全培训1次，培训从业人员109名；确定万达永辉为放心肉菜示范超市，开展现场检查指导3次，目前已完成制度上墙、材料收集等工作；在全区食品生产经营环节推行“一证通”制度，对60家企业进行实地检查，对1家录入不及时企业进行警告。每月对“一品一码”录入情况进行通报。</w:t>
            </w:r>
          </w:p>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（二）已完成城厢区内77家学校食堂、9家大中型酒店的企业档案登记，其中68家学校食堂及6家大中型餐饮已纳入平台监管，及时更新“明厨亮灶”信息。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八</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农村公路安全生命防护工程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全区农村公路安全生命防护工程，对辖区内临水临崖路段进行安保设计施工，预计建设10公里。资金安排：需投资160万元。其中，所需资金60%区财政补助，所需资金40%争取市级财政补助。</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区交通运输局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目前已完成3公里，剩余7公里正在前期办理中，第三季度进场施工。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Merge w:val="restart"/>
            <w:vAlign w:val="center"/>
          </w:tcPr>
          <w:p>
            <w:pPr>
              <w:adjustRightInd w:val="0"/>
              <w:snapToGrid w:val="0"/>
              <w:jc w:val="center"/>
              <w:rPr>
                <w:rFonts w:ascii="仿宋_GB2312"/>
                <w:sz w:val="28"/>
                <w:szCs w:val="28"/>
              </w:rPr>
            </w:pPr>
            <w:r>
              <w:rPr>
                <w:rFonts w:hint="eastAsia" w:ascii="仿宋_GB2312"/>
                <w:sz w:val="28"/>
                <w:szCs w:val="28"/>
              </w:rPr>
              <w:t>九</w:t>
            </w:r>
          </w:p>
        </w:tc>
        <w:tc>
          <w:tcPr>
            <w:tcW w:w="1316" w:type="dxa"/>
            <w:vMerge w:val="restart"/>
            <w:vAlign w:val="center"/>
          </w:tcPr>
          <w:p>
            <w:pPr>
              <w:adjustRightInd w:val="0"/>
              <w:snapToGrid w:val="0"/>
              <w:jc w:val="center"/>
              <w:rPr>
                <w:rFonts w:ascii="仿宋_GB2312"/>
                <w:sz w:val="28"/>
                <w:szCs w:val="28"/>
              </w:rPr>
            </w:pPr>
            <w:r>
              <w:rPr>
                <w:rFonts w:hint="eastAsia" w:ascii="仿宋_GB2312"/>
                <w:sz w:val="28"/>
                <w:szCs w:val="28"/>
              </w:rPr>
              <w:t>“厕所革命”工程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（一）城乡公厕建设。</w:t>
            </w:r>
            <w:r>
              <w:rPr>
                <w:rFonts w:hint="eastAsia" w:ascii="仿宋_GB2312" w:hAnsi="仿宋_GB2312" w:cs="仿宋_GB2312"/>
                <w:color w:val="000000"/>
                <w:sz w:val="28"/>
                <w:szCs w:val="28"/>
              </w:rPr>
              <w:t>为落实“厕所革命”，根据《福建省人民政府办公厅关于印发福建省进一步推进“厕所革命”行动计划的通知》（闽政办〔2018〕4号）和《莆田市人民政府办公室关于印发莆田市进一步推进“厕所革命”三年行动实施方案的通知》（莆政办〔2018〕40号）指标任务，2020年计划新建25座公厕（城区9座、乡镇3座、农村13座），进一步完善环卫基础设施。资金安排：总投资859万元，具体为省补助84万元、市补助135万元、区财政保障640万元。</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区环卫处</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各镇街</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城区9座公厕：5座完成主体建设，4座正在地基建设；②乡镇3座公厕：2座主体完成建设，1座正在地基建设；③农村13座公厕：5座正在主体建设，8座正在地基建设。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Merge w:val="continue"/>
            <w:vAlign w:val="center"/>
          </w:tcPr>
          <w:p>
            <w:pPr>
              <w:adjustRightInd w:val="0"/>
              <w:snapToGrid w:val="0"/>
              <w:jc w:val="center"/>
              <w:rPr>
                <w:rFonts w:ascii="仿宋_GB2312"/>
                <w:sz w:val="28"/>
                <w:szCs w:val="28"/>
              </w:rPr>
            </w:pPr>
          </w:p>
        </w:tc>
        <w:tc>
          <w:tcPr>
            <w:tcW w:w="1316" w:type="dxa"/>
            <w:vMerge w:val="continue"/>
            <w:vAlign w:val="center"/>
          </w:tcPr>
          <w:p>
            <w:pPr>
              <w:adjustRightInd w:val="0"/>
              <w:snapToGrid w:val="0"/>
              <w:jc w:val="center"/>
              <w:rPr>
                <w:rFonts w:ascii="仿宋_GB2312"/>
                <w:sz w:val="28"/>
                <w:szCs w:val="28"/>
              </w:rPr>
            </w:pP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b/>
                <w:color w:val="000000"/>
                <w:sz w:val="28"/>
                <w:szCs w:val="28"/>
              </w:rPr>
              <w:t>（二）旅游厕所建设。</w:t>
            </w:r>
            <w:r>
              <w:rPr>
                <w:rFonts w:hint="eastAsia" w:ascii="仿宋_GB2312" w:hAnsi="仿宋_GB2312" w:cs="仿宋_GB2312"/>
                <w:color w:val="000000"/>
                <w:sz w:val="28"/>
                <w:szCs w:val="28"/>
              </w:rPr>
              <w:t>计划建设旅游厕所（2Ａ级以上）6个。其中，九龙谷4Ａ级景区2个，文化场所春晖艺术馆1个，常太镇2个、东海镇1个。资金安排：总投资约195万元。其中，省、市级财政补助各36万元，区财政承担约72万元，项目业主筹措约51万元。3个相关镇（街道）旅游厕所的后期管理、维护等相关费用列入区环卫部门的区级财政预算。</w:t>
            </w:r>
          </w:p>
        </w:tc>
        <w:tc>
          <w:tcPr>
            <w:tcW w:w="1409" w:type="dxa"/>
            <w:vAlign w:val="center"/>
          </w:tcPr>
          <w:p>
            <w:pPr>
              <w:adjustRightInd w:val="0"/>
              <w:snapToGrid w:val="0"/>
              <w:rPr>
                <w:rFonts w:ascii="仿宋_GB2312"/>
                <w:spacing w:val="-4"/>
                <w:sz w:val="28"/>
                <w:szCs w:val="28"/>
              </w:rPr>
            </w:pPr>
            <w:r>
              <w:rPr>
                <w:rFonts w:hint="eastAsia" w:ascii="仿宋_GB2312"/>
                <w:sz w:val="28"/>
                <w:szCs w:val="28"/>
              </w:rPr>
              <w:t>区文旅局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完工1座,为东海镇利角村山仔头旅游公厕；正在建设2座（常太镇渡里村旅游公厕、南湖公园公厕）；其余3座正在办理前期工作，其中常太镇溪南村旅游公厕已完成招投标程序，施工队正要进场；九龙谷景区内2、3号停车场旅游厕所已完成选址。1-6月份厕所建设累计完成投资额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农村有线广播村村响工程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2020年，对53个尚未修建光纤联网有线广播村村响的行政村进行施工建设。资金安排：需投资954万元，每个村需投资18万元，其中：福建广电网络集团莆田分公司筹措530万元，区财政承担424万元。</w:t>
            </w:r>
          </w:p>
        </w:tc>
        <w:tc>
          <w:tcPr>
            <w:tcW w:w="1409" w:type="dxa"/>
            <w:vAlign w:val="center"/>
          </w:tcPr>
          <w:p>
            <w:pPr>
              <w:adjustRightInd w:val="0"/>
              <w:snapToGrid w:val="0"/>
              <w:rPr>
                <w:rFonts w:ascii="仿宋_GB2312"/>
                <w:spacing w:val="-4"/>
                <w:sz w:val="28"/>
                <w:szCs w:val="28"/>
              </w:rPr>
            </w:pPr>
            <w:r>
              <w:rPr>
                <w:rFonts w:hint="eastAsia" w:ascii="仿宋_GB2312"/>
                <w:sz w:val="28"/>
                <w:szCs w:val="28"/>
              </w:rPr>
              <w:t xml:space="preserve">区文旅局  </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已完成53个行政村线路铺设已全部完成，正在有序推进器材设备安装。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十一</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农家书屋示范工程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2020年，计划在全区打造农家书屋示范点2家，为群众提供便捷的阅读服务。资金安排：总投资40万元。由市、区财政按照1：1比例承担。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区文旅局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已完成选址，等待市文旅局确认。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十二</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全民健身场地设施建设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新建室外全民健身点12处，要求场地面积约50㎡以上，有比较健全的管理机构、管理制度和运行机制。资金安排：由体彩公益金支出48万元。</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 xml:space="preserve">区文旅局  </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已完成选址。正在场地平整、器材清单制作和招投标前期手续。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十三</w:t>
            </w:r>
          </w:p>
        </w:tc>
        <w:tc>
          <w:tcPr>
            <w:tcW w:w="1316" w:type="dxa"/>
            <w:vAlign w:val="center"/>
          </w:tcPr>
          <w:p>
            <w:pPr>
              <w:adjustRightInd w:val="0"/>
              <w:snapToGrid w:val="0"/>
              <w:spacing w:line="216" w:lineRule="auto"/>
              <w:jc w:val="center"/>
              <w:rPr>
                <w:rFonts w:ascii="仿宋_GB2312"/>
                <w:sz w:val="28"/>
                <w:szCs w:val="28"/>
              </w:rPr>
            </w:pPr>
            <w:r>
              <w:rPr>
                <w:rFonts w:hint="eastAsia" w:ascii="仿宋_GB2312"/>
                <w:sz w:val="28"/>
                <w:szCs w:val="28"/>
              </w:rPr>
              <w:t>妇女之家、儿童之家和社区家长学校建设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新建10个村（社区）家长学校及儿童之家；在已建的妇女之家、儿童之家和社区家长学校开展示范创建活动；通过政府购买服务，开展妇女之家、儿童之家和社区家长学校活动。资金安排：项目计划总金额为35万元，由区财政承担。</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区妇联</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已完成洋西村、下黄社区、肖厝社区、前黄村、顶宅村、桂山村、太湖村、柯朱村、上亭村9个儿童之家建设。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十四</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设立灵川镇中心卫生院东海分院</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在沈海高速东海安置区1#（1-2层，面积约1000㎡）设立灵川镇中心卫生院东海分院，开设内科、外科、儿科、超声科、心电图、化验室、输液大厅、预防接种、儿保、妇保等科室。资金安排：需投资460万元，其中：区财政补助280万元，分两年完成，2020年区财政补助200万元，2021年区财政补助80万元；灵川镇中心卫生院自筹180万元。</w:t>
            </w:r>
          </w:p>
        </w:tc>
        <w:tc>
          <w:tcPr>
            <w:tcW w:w="1409" w:type="dxa"/>
            <w:vAlign w:val="center"/>
          </w:tcPr>
          <w:p>
            <w:pPr>
              <w:adjustRightInd w:val="0"/>
              <w:snapToGrid w:val="0"/>
              <w:jc w:val="center"/>
              <w:rPr>
                <w:rFonts w:ascii="仿宋_GB2312"/>
                <w:spacing w:val="-4"/>
                <w:sz w:val="28"/>
                <w:szCs w:val="28"/>
              </w:rPr>
            </w:pPr>
            <w:r>
              <w:rPr>
                <w:rFonts w:hint="eastAsia" w:ascii="仿宋_GB2312"/>
                <w:sz w:val="28"/>
                <w:szCs w:val="28"/>
              </w:rPr>
              <w:t>区卫健局</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正在第三方</w:t>
            </w:r>
            <w:r>
              <w:rPr>
                <w:rFonts w:ascii="仿宋_GB2312" w:hAnsi="仿宋_GB2312" w:cs="仿宋_GB2312"/>
                <w:color w:val="000000"/>
                <w:sz w:val="28"/>
                <w:szCs w:val="28"/>
              </w:rPr>
              <w:t>图审</w:t>
            </w:r>
            <w:r>
              <w:rPr>
                <w:rFonts w:hint="eastAsia" w:ascii="仿宋_GB2312" w:hAnsi="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十五</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老旧小区改造</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对县委300套等老旧小区进行改造，计划改造内容为道路修缮、管线整治、小区绿化景观提升、雨污水管网分流及电缆落地改造等，总投资1800万元，2020年计划完成投资1000万元。资金安排：省级保障性安居工程专项补助资金配套500万元、中央补助约200万元，不足部分由区财政承担。</w:t>
            </w:r>
          </w:p>
        </w:tc>
        <w:tc>
          <w:tcPr>
            <w:tcW w:w="1409" w:type="dxa"/>
            <w:vAlign w:val="center"/>
          </w:tcPr>
          <w:p>
            <w:pPr>
              <w:adjustRightInd w:val="0"/>
              <w:snapToGrid w:val="0"/>
              <w:jc w:val="center"/>
              <w:rPr>
                <w:rFonts w:ascii="仿宋_GB2312"/>
                <w:sz w:val="28"/>
                <w:szCs w:val="28"/>
              </w:rPr>
            </w:pPr>
            <w:r>
              <w:rPr>
                <w:rFonts w:hint="eastAsia" w:ascii="仿宋_GB2312"/>
                <w:sz w:val="28"/>
                <w:szCs w:val="28"/>
              </w:rPr>
              <w:t>区住建局</w:t>
            </w:r>
          </w:p>
          <w:p>
            <w:pPr>
              <w:adjustRightInd w:val="0"/>
              <w:snapToGrid w:val="0"/>
              <w:jc w:val="center"/>
              <w:rPr>
                <w:rFonts w:ascii="仿宋_GB2312"/>
                <w:spacing w:val="-4"/>
                <w:sz w:val="28"/>
                <w:szCs w:val="28"/>
              </w:rPr>
            </w:pPr>
            <w:r>
              <w:rPr>
                <w:rFonts w:hint="eastAsia" w:ascii="仿宋_GB2312"/>
                <w:sz w:val="28"/>
                <w:szCs w:val="28"/>
              </w:rPr>
              <w:t>凤凰山街道</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县委300套小区已完成施工图设计及预算编制，正在预算送审；东圳小区已完成施工图设计，预计6月底完成预算编制；市第一医院，国防楼，已完成施工图设计及预算编制，正在预算送审；新季小区，农机局集资楼，正在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十六</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城区生活垃圾分类屋（亭）建设</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计划在城区三个街道建设生活垃圾分类屋（亭）60座。其中：龙桥街道20座、霞林街道20座、凤凰山街道20座。资金安排：总投资180万元。每座分类屋（亭）计划投资3万元，实行以奖代补方式进行补助，其中：每座按建设或采购总额的30%奖励，市级补助54万元；每座按建设或采购总额的40%奖励，区级补助72万元；不足部分由各街道筹措。同时，根据工作需要，各街道超额完成生活垃圾分类屋（亭）建设任务的，按照同等奖励方式予以区级补助。</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区环卫处</w:t>
            </w:r>
          </w:p>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各街道</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已开工建设68座，龙桥街道开工建设地面硬化和分类屋（亭）主体建设安装；霞林街道开工建设地面硬化和分类屋（亭）主体建设；凤凰山街道分类屋（亭）主体改装与安装中。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592" w:type="dxa"/>
            <w:vAlign w:val="center"/>
          </w:tcPr>
          <w:p>
            <w:pPr>
              <w:adjustRightInd w:val="0"/>
              <w:snapToGrid w:val="0"/>
              <w:jc w:val="center"/>
              <w:rPr>
                <w:rFonts w:ascii="仿宋_GB2312"/>
                <w:sz w:val="28"/>
                <w:szCs w:val="28"/>
              </w:rPr>
            </w:pPr>
            <w:r>
              <w:rPr>
                <w:rFonts w:hint="eastAsia" w:ascii="仿宋_GB2312"/>
                <w:sz w:val="28"/>
                <w:szCs w:val="28"/>
              </w:rPr>
              <w:t>十七</w:t>
            </w:r>
          </w:p>
        </w:tc>
        <w:tc>
          <w:tcPr>
            <w:tcW w:w="1316" w:type="dxa"/>
            <w:vAlign w:val="center"/>
          </w:tcPr>
          <w:p>
            <w:pPr>
              <w:adjustRightInd w:val="0"/>
              <w:snapToGrid w:val="0"/>
              <w:jc w:val="center"/>
              <w:rPr>
                <w:rFonts w:ascii="仿宋_GB2312"/>
                <w:sz w:val="28"/>
                <w:szCs w:val="28"/>
              </w:rPr>
            </w:pPr>
            <w:r>
              <w:rPr>
                <w:rFonts w:hint="eastAsia" w:ascii="仿宋_GB2312"/>
                <w:sz w:val="28"/>
                <w:szCs w:val="28"/>
              </w:rPr>
              <w:t>开放式小区管理提升工程</w:t>
            </w:r>
          </w:p>
        </w:tc>
        <w:tc>
          <w:tcPr>
            <w:tcW w:w="6770" w:type="dxa"/>
            <w:vAlign w:val="center"/>
          </w:tcPr>
          <w:p>
            <w:pPr>
              <w:adjustRightInd w:val="0"/>
              <w:snapToGrid w:val="0"/>
              <w:jc w:val="left"/>
              <w:rPr>
                <w:rFonts w:ascii="仿宋_GB2312" w:hAnsi="仿宋_GB2312" w:cs="仿宋_GB2312"/>
                <w:color w:val="000000"/>
                <w:sz w:val="28"/>
                <w:szCs w:val="28"/>
              </w:rPr>
            </w:pPr>
            <w:r>
              <w:rPr>
                <w:rFonts w:hint="eastAsia" w:ascii="仿宋_GB2312" w:hAnsi="仿宋_GB2312" w:cs="仿宋_GB2312"/>
                <w:color w:val="000000"/>
                <w:sz w:val="28"/>
                <w:szCs w:val="28"/>
              </w:rPr>
              <w:t>2020年对3个街道开放式小区管理进行提升建设，着力构建长效管理机制。资金安排：需投资约2430万元。除向上级争取补助资金外，所需费用由区财政统筹安排。</w:t>
            </w:r>
          </w:p>
        </w:tc>
        <w:tc>
          <w:tcPr>
            <w:tcW w:w="1409" w:type="dxa"/>
            <w:vAlign w:val="center"/>
          </w:tcPr>
          <w:p>
            <w:pPr>
              <w:adjustRightInd w:val="0"/>
              <w:snapToGrid w:val="0"/>
              <w:jc w:val="center"/>
              <w:rPr>
                <w:rFonts w:ascii="仿宋_GB2312" w:hAnsi="仿宋_GB2312" w:cs="仿宋_GB2312"/>
                <w:color w:val="000000"/>
                <w:sz w:val="28"/>
                <w:szCs w:val="28"/>
              </w:rPr>
            </w:pPr>
            <w:r>
              <w:rPr>
                <w:rFonts w:hint="eastAsia" w:ascii="仿宋_GB2312" w:hAnsi="仿宋_GB2312" w:cs="仿宋_GB2312"/>
                <w:color w:val="000000"/>
                <w:sz w:val="28"/>
                <w:szCs w:val="28"/>
              </w:rPr>
              <w:t>各街道</w:t>
            </w:r>
          </w:p>
        </w:tc>
        <w:tc>
          <w:tcPr>
            <w:tcW w:w="5153" w:type="dxa"/>
            <w:vAlign w:val="center"/>
          </w:tcPr>
          <w:p>
            <w:pPr>
              <w:adjustRightInd w:val="0"/>
              <w:snapToGrid w:val="0"/>
              <w:spacing w:line="204" w:lineRule="auto"/>
              <w:jc w:val="left"/>
              <w:rPr>
                <w:rFonts w:ascii="仿宋_GB2312" w:hAnsi="仿宋_GB2312" w:cs="仿宋_GB2312"/>
                <w:color w:val="000000"/>
                <w:sz w:val="28"/>
                <w:szCs w:val="28"/>
              </w:rPr>
            </w:pPr>
            <w:r>
              <w:rPr>
                <w:rFonts w:hint="eastAsia" w:ascii="仿宋_GB2312" w:hAnsi="仿宋_GB2312" w:cs="仿宋_GB2312"/>
                <w:color w:val="000000"/>
                <w:sz w:val="28"/>
                <w:szCs w:val="28"/>
              </w:rPr>
              <w:t>霞林街道育华小区提升工程已完工；凤凰山街道计划改造小区95个，目前已全部竣工；龙桥街道福兴小区改造提升硬件设施已落实到位，其他改造小区正在推进落实。</w:t>
            </w:r>
          </w:p>
        </w:tc>
      </w:tr>
    </w:tbl>
    <w:p/>
    <w:sectPr>
      <w:footerReference r:id="rId3" w:type="default"/>
      <w:pgSz w:w="16838" w:h="11906" w:orient="landscape"/>
      <w:pgMar w:top="1134" w:right="1134" w:bottom="1134" w:left="1134" w:header="851" w:footer="992" w:gutter="0"/>
      <w:pgNumType w:fmt="numberInDash" w:start="2"/>
      <w:cols w:space="72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r>
      <w:pict>
        <v:shape id="文本框1" o:spid="_x0000_s2049" o:spt="202" type="#_x0000_t202" style="position:absolute;left:0pt;margin-top:7.8pt;height:18.15pt;width:35pt;mso-position-horizontal:outside;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2"/>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- 3 -</w:t>
                </w:r>
                <w:r>
                  <w:rPr>
                    <w:rFonts w:hint="eastAsia" w:ascii="宋体" w:hAnsi="宋体" w:eastAsia="宋体" w:cs="宋体"/>
                    <w:sz w:val="28"/>
                    <w:szCs w:val="28"/>
                    <w:lang w:val="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kZTZiYjVmNDQ5ZjYxNmNiOGI1MzIyNWZlYWNkNjgifQ=="/>
    <w:docVar w:name="KSO_WPS_MARK_KEY" w:val="52d05283-d791-4d9e-ac59-fef5024ac1ac"/>
  </w:docVars>
  <w:rsids>
    <w:rsidRoot w:val="000A6C8B"/>
    <w:rsid w:val="00013A18"/>
    <w:rsid w:val="000A6C8B"/>
    <w:rsid w:val="00426779"/>
    <w:rsid w:val="005230C6"/>
    <w:rsid w:val="00624E3D"/>
    <w:rsid w:val="006739FF"/>
    <w:rsid w:val="00722A79"/>
    <w:rsid w:val="00B16FC6"/>
    <w:rsid w:val="00CE4386"/>
    <w:rsid w:val="00D01EFE"/>
    <w:rsid w:val="00E6069E"/>
    <w:rsid w:val="00E93E29"/>
    <w:rsid w:val="00F865E4"/>
    <w:rsid w:val="4EC3190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uiPriority w:val="99"/>
    <w:rPr>
      <w:rFonts w:ascii="Times New Roman" w:hAnsi="Times New Roman" w:eastAsia="仿宋_GB2312" w:cs="Times New Roman"/>
      <w:sz w:val="18"/>
      <w:szCs w:val="18"/>
    </w:rPr>
  </w:style>
  <w:style w:type="character" w:customStyle="1" w:styleId="8">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5753</Words>
  <Characters>6228</Characters>
  <Lines>45</Lines>
  <Paragraphs>12</Paragraphs>
  <TotalTime>21</TotalTime>
  <ScaleCrop>false</ScaleCrop>
  <LinksUpToDate>false</LinksUpToDate>
  <CharactersWithSpaces>6233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2020-06-05T03:51:00Z</dcterms:created>
  <dc:creator>Windows 用户</dc:creator>
  <cp:lastModifiedBy>Administrator</cp:lastModifiedBy>
  <cp:lastPrinted>2020-07-02T03:23:00Z</cp:lastPrinted>
  <dcterms:modified xsi:type="dcterms:W3CDTF">2025-05-26T03:28:37Z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B182A8128CD44E18A2F67C95FB36CAF4</vt:lpwstr>
  </property>
</Properties>
</file>