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附件</w:t>
      </w:r>
    </w:p>
    <w:p>
      <w:pPr>
        <w:jc w:val="center"/>
        <w:rPr>
          <w:rFonts w:hint="eastAsia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莆田市城厢区二次供水单位水质卫生检测情况表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2019年上半年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）</w:t>
      </w:r>
    </w:p>
    <w:tbl>
      <w:tblPr>
        <w:tblStyle w:val="3"/>
        <w:tblW w:w="14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2386"/>
        <w:gridCol w:w="4520"/>
        <w:gridCol w:w="1040"/>
        <w:gridCol w:w="1040"/>
        <w:gridCol w:w="1040"/>
        <w:gridCol w:w="1040"/>
        <w:gridCol w:w="1040"/>
        <w:gridCol w:w="1044"/>
        <w:gridCol w:w="12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检测项目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本次检测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份数（份）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本次合格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份数（份）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本次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合格率（%）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累计检测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份数（份）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累计合格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份数（份）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累计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合格率（%）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</w:rPr>
              <w:t>不合格原因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东方国际大酒店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  <w:bookmarkEnd w:id="0"/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明珠大酒店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莆田市壶兰大酒店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莆田市台湾大酒店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莆田市三迪希尔顿逸林酒店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莆田第五中学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莆田市城厢区医院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城厢区机关事务管理处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莆田妇产专科医院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南方大酒店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色度、浑浊度、臭和味、肉眼可见物、PH值、游离余氯、细菌总数、总大肠菌群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1.请按照</w:t>
      </w:r>
      <w:r>
        <w:rPr>
          <w:rFonts w:hint="eastAsia" w:ascii="宋体" w:hAnsi="宋体"/>
          <w:color w:val="000000"/>
          <w:szCs w:val="21"/>
        </w:rPr>
        <w:t>表格中的填写范例规范填写。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2.累计是指本年度已开展的各次检测结果的累加。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3.表格行数不够可自行调整添加。</w:t>
      </w:r>
    </w:p>
    <w:p>
      <w:pPr>
        <w:ind w:left="420" w:leftChars="200"/>
      </w:pPr>
      <w:r>
        <w:rPr>
          <w:rFonts w:hint="eastAsia"/>
        </w:rPr>
        <w:t>填报单位（盖章）：     莆田市城厢区卫生局卫生监督所                                                       填报日期：2019年6月20日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9539A"/>
    <w:rsid w:val="3D19539A"/>
    <w:rsid w:val="6D535020"/>
    <w:rsid w:val="7D7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xqwj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2019-06-26T01:04:00Z</dcterms:created>
  <dc:creator>cxqwjj</dc:creator>
  <cp:lastModifiedBy>cxqwjj</cp:lastModifiedBy>
  <dcterms:modified xsi:type="dcterms:W3CDTF">2019-06-26T01:10:19Z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