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textAlignment w:val="auto"/>
        <w:rPr>
          <w:rFonts w:hint="eastAsia" w:ascii="宋体" w:hAnsi="宋体" w:cs="宋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莆田市城厢区集中式供水单位水质卫生检测情况表（2020年第一季度）</w:t>
      </w:r>
    </w:p>
    <w:p>
      <w:pPr>
        <w:spacing w:line="300" w:lineRule="exact"/>
      </w:pPr>
    </w:p>
    <w:tbl>
      <w:tblPr>
        <w:tblStyle w:val="4"/>
        <w:tblpPr w:leftFromText="180" w:rightFromText="180" w:vertAnchor="page" w:horzAnchor="page" w:tblpXSpec="center" w:tblpY="2136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2977"/>
        <w:gridCol w:w="1276"/>
        <w:gridCol w:w="1275"/>
        <w:gridCol w:w="851"/>
        <w:gridCol w:w="1276"/>
        <w:gridCol w:w="1275"/>
        <w:gridCol w:w="1336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10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97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99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莆田市城厢区华亭紫峰供水有限公司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97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</w:t>
            </w:r>
          </w:p>
        </w:tc>
        <w:tc>
          <w:tcPr>
            <w:tcW w:w="1499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97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99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97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36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99" w:type="dxa"/>
            <w:vAlign w:val="top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pPr w:leftFromText="180" w:rightFromText="180" w:vertAnchor="page" w:horzAnchor="margin" w:tblpXSpec="center" w:tblpY="901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446"/>
        <w:gridCol w:w="2940"/>
        <w:gridCol w:w="1289"/>
        <w:gridCol w:w="1284"/>
        <w:gridCol w:w="829"/>
        <w:gridCol w:w="1417"/>
        <w:gridCol w:w="1349"/>
        <w:gridCol w:w="1148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8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7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莆田市城厢区朝阳自来水有限公司</w:t>
            </w:r>
          </w:p>
        </w:tc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7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7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94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12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82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72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pPr w:leftFromText="180" w:rightFromText="180" w:vertAnchor="page" w:horzAnchor="margin" w:tblpXSpec="center" w:tblpY="1231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2693"/>
        <w:gridCol w:w="992"/>
        <w:gridCol w:w="1276"/>
        <w:gridCol w:w="1134"/>
        <w:gridCol w:w="1417"/>
        <w:gridCol w:w="1362"/>
        <w:gridCol w:w="1162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widowControl/>
              <w:spacing w:beforeLines="50"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4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莆田市城厢区厢东自来水有限公司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4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4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4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2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tabs>
          <w:tab w:val="left" w:pos="4095"/>
        </w:tabs>
        <w:spacing w:line="320" w:lineRule="exac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ab/>
      </w:r>
    </w:p>
    <w:p>
      <w:pPr>
        <w:spacing w:line="32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pPr w:leftFromText="180" w:rightFromText="180" w:vertAnchor="page" w:horzAnchor="page" w:tblpXSpec="center" w:tblpY="1220"/>
        <w:tblOverlap w:val="never"/>
        <w:tblW w:w="14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2693"/>
        <w:gridCol w:w="992"/>
        <w:gridCol w:w="1276"/>
        <w:gridCol w:w="1134"/>
        <w:gridCol w:w="1417"/>
        <w:gridCol w:w="1362"/>
        <w:gridCol w:w="1122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4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单位名称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水质类型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检测项目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本次检测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本次合格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本次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累计检测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累计合格</w:t>
            </w: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份数（份）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累计</w:t>
            </w:r>
          </w:p>
          <w:p>
            <w:pPr>
              <w:widowControl/>
              <w:spacing w:beforeLines="50"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合格率</w:t>
            </w:r>
          </w:p>
        </w:tc>
        <w:tc>
          <w:tcPr>
            <w:tcW w:w="148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不合格原因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莆田市自来水有限公司（原华源）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进厂水源水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PH值、锰、铁、氯化物、硫酸盐、氟化物、铬（六价）、氨氮、硝酸盐、类大肠菌群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8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出厂水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8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末梢水</w:t>
            </w:r>
          </w:p>
        </w:tc>
        <w:tc>
          <w:tcPr>
            <w:tcW w:w="26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色度、浑浊度、臭和味、PH值、肉眼可见物、总硬度、锰、铁、氯化物、硫酸盐、溶解性总固体、氟化物、铬（六价）、亚硝酸盐、氨氮、硝酸盐、耗氧量、细菌总数、总大肠菌群、游离余氯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1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12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100%</w:t>
            </w:r>
          </w:p>
        </w:tc>
        <w:tc>
          <w:tcPr>
            <w:tcW w:w="1485" w:type="dxa"/>
            <w:vAlign w:val="top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00" w:lineRule="exact"/>
      </w:pPr>
    </w:p>
    <w:p>
      <w:pPr>
        <w:spacing w:line="320" w:lineRule="exact"/>
        <w:rPr>
          <w:rFonts w:hint="eastAsia"/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注：1.累计是指本年度已开展的各次检测结果的累加。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填报单位：城厢区卫生局卫生监督所                                                  填报日期：2020年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6838" w:h="11906" w:orient="landscape"/>
      <w:pgMar w:top="720" w:right="720" w:bottom="720" w:left="72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50513C5"/>
    <w:rsid w:val="3D2B36D8"/>
    <w:rsid w:val="6EAE0B47"/>
    <w:rsid w:val="70245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279</Words>
  <Characters>1595</Characters>
  <Lines>13</Lines>
  <Paragraphs>3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2</dc:creator>
  <cp:lastModifiedBy>2</cp:lastModifiedBy>
  <dcterms:modified xsi:type="dcterms:W3CDTF">2020-04-26T08:56:34Z</dcterms:modified>
  <dc:title>附件2      莆田市城厢区集中式供水单位水质卫生检测情况表（2020年第一季度）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