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应急预案编号：</w:t>
      </w:r>
    </w:p>
    <w:p>
      <w:pPr>
        <w:adjustRightInd w:val="0"/>
        <w:snapToGrid w:val="0"/>
        <w:spacing w:line="600" w:lineRule="exact"/>
        <w:jc w:val="left"/>
        <w:rPr>
          <w:rFonts w:ascii="黑体" w:hAnsi="黑体" w:eastAsia="黑体" w:cs="黑体"/>
          <w:b/>
          <w:bCs/>
          <w:color w:val="000000" w:themeColor="text1"/>
          <w:sz w:val="32"/>
          <w:szCs w:val="32"/>
          <w14:textFill>
            <w14:solidFill>
              <w14:schemeClr w14:val="tx1"/>
            </w14:solidFill>
          </w14:textFill>
        </w:rPr>
      </w:pPr>
    </w:p>
    <w:p>
      <w:pPr>
        <w:widowControl/>
        <w:jc w:val="left"/>
        <w:rPr>
          <w:color w:val="000000" w:themeColor="text1"/>
          <w14:textFill>
            <w14:solidFill>
              <w14:schemeClr w14:val="tx1"/>
            </w14:solidFill>
          </w14:textFill>
        </w:rPr>
      </w:pPr>
    </w:p>
    <w:p>
      <w:pPr>
        <w:pStyle w:val="91"/>
        <w:spacing w:before="190"/>
        <w:rPr>
          <w:b/>
          <w:bCs/>
          <w:color w:val="000000" w:themeColor="text1"/>
          <w14:textFill>
            <w14:solidFill>
              <w14:schemeClr w14:val="tx1"/>
            </w14:solidFill>
          </w14:textFill>
        </w:rPr>
      </w:pPr>
      <w:bookmarkStart w:id="0" w:name="_Toc523219288"/>
      <w:bookmarkStart w:id="1" w:name="_Toc523219577"/>
      <w:bookmarkStart w:id="2" w:name="_Toc528057080"/>
      <w:bookmarkStart w:id="3" w:name="_Toc523223876"/>
      <w:bookmarkStart w:id="4" w:name="_Toc16412"/>
      <w:bookmarkStart w:id="5" w:name="_Toc17170"/>
      <w:bookmarkStart w:id="6" w:name="_Toc529453247"/>
      <w:bookmarkStart w:id="7" w:name="_Toc24728"/>
      <w:bookmarkStart w:id="8" w:name="_Toc523223336"/>
      <w:bookmarkStart w:id="9" w:name="_Toc4498"/>
      <w:bookmarkStart w:id="10" w:name="_Toc529453093"/>
      <w:bookmarkStart w:id="11" w:name="_Toc528234230"/>
      <w:bookmarkStart w:id="12" w:name="_Toc523220063"/>
      <w:bookmarkStart w:id="13" w:name="_Toc17443"/>
      <w:bookmarkStart w:id="14" w:name="_Toc527026523"/>
      <w:bookmarkStart w:id="15" w:name="_Hlk523140595"/>
      <w:r>
        <w:rPr>
          <w:rFonts w:hint="eastAsia" w:cs="黑体"/>
          <w:b/>
          <w:bCs/>
          <w:color w:val="000000" w:themeColor="text1"/>
          <w14:textFill>
            <w14:solidFill>
              <w14:schemeClr w14:val="tx1"/>
            </w14:solidFill>
          </w14:textFill>
        </w:rPr>
        <w:t>城厢区集中式地表水饮用水水源地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pPr>
        <w:pStyle w:val="91"/>
        <w:spacing w:before="190"/>
        <w:rPr>
          <w:b/>
          <w:bCs/>
          <w:color w:val="000000" w:themeColor="text1"/>
          <w14:textFill>
            <w14:solidFill>
              <w14:schemeClr w14:val="tx1"/>
            </w14:solidFill>
          </w14:textFill>
        </w:rPr>
      </w:pPr>
      <w:bookmarkStart w:id="16" w:name="_Toc527026524"/>
      <w:bookmarkStart w:id="17" w:name="_Toc30008"/>
      <w:bookmarkStart w:id="18" w:name="_Toc529453094"/>
      <w:bookmarkStart w:id="19" w:name="_Toc523219289"/>
      <w:bookmarkStart w:id="20" w:name="_Toc529453248"/>
      <w:bookmarkStart w:id="21" w:name="_Toc523223337"/>
      <w:bookmarkStart w:id="22" w:name="_Toc523219578"/>
      <w:bookmarkStart w:id="23" w:name="_Toc528057081"/>
      <w:bookmarkStart w:id="24" w:name="_Toc13282"/>
      <w:bookmarkStart w:id="25" w:name="_Toc22441"/>
      <w:bookmarkStart w:id="26" w:name="_Toc523223877"/>
      <w:bookmarkStart w:id="27" w:name="_Toc528234231"/>
      <w:bookmarkStart w:id="28" w:name="_Toc21763"/>
      <w:bookmarkStart w:id="29" w:name="_Toc523220064"/>
      <w:bookmarkStart w:id="30" w:name="_Toc10168"/>
      <w:r>
        <w:rPr>
          <w:rFonts w:hint="eastAsia" w:cs="黑体"/>
          <w:b/>
          <w:bCs/>
          <w:color w:val="000000" w:themeColor="text1"/>
          <w14:textFill>
            <w14:solidFill>
              <w14:schemeClr w14:val="tx1"/>
            </w14:solidFill>
          </w14:textFill>
        </w:rPr>
        <w:t>突发环境事件应急预案</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Style w:val="91"/>
        <w:spacing w:before="190"/>
        <w:rPr>
          <w:color w:val="000000" w:themeColor="text1"/>
          <w14:textFill>
            <w14:solidFill>
              <w14:schemeClr w14:val="tx1"/>
            </w14:solidFill>
          </w14:textFill>
        </w:rPr>
      </w:pPr>
      <w:bookmarkStart w:id="31" w:name="_Toc529453249"/>
      <w:bookmarkStart w:id="32" w:name="_Toc23876"/>
      <w:bookmarkStart w:id="33" w:name="_Toc9423"/>
      <w:bookmarkStart w:id="34" w:name="_Toc2683"/>
      <w:bookmarkStart w:id="35" w:name="_Toc527026525"/>
      <w:bookmarkStart w:id="36" w:name="_Toc529453095"/>
      <w:bookmarkStart w:id="37" w:name="_Toc528234232"/>
      <w:bookmarkStart w:id="38" w:name="_Toc528057082"/>
      <w:bookmarkStart w:id="39" w:name="_Toc22821"/>
      <w:bookmarkStart w:id="40" w:name="_Toc24003"/>
      <w:r>
        <w:rPr>
          <w:rFonts w:hint="eastAsia" w:cs="黑体"/>
          <w:color w:val="000000" w:themeColor="text1"/>
          <w14:textFill>
            <w14:solidFill>
              <w14:schemeClr w14:val="tx1"/>
            </w14:solidFill>
          </w14:textFill>
        </w:rPr>
        <w:t>（</w:t>
      </w:r>
      <w:r>
        <w:rPr>
          <w:color w:val="000000" w:themeColor="text1"/>
          <w14:textFill>
            <w14:solidFill>
              <w14:schemeClr w14:val="tx1"/>
            </w14:solidFill>
          </w14:textFill>
        </w:rPr>
        <w:t>2019</w:t>
      </w:r>
      <w:r>
        <w:rPr>
          <w:rFonts w:hint="eastAsia" w:cs="黑体"/>
          <w:color w:val="000000" w:themeColor="text1"/>
          <w14:textFill>
            <w14:solidFill>
              <w14:schemeClr w14:val="tx1"/>
            </w14:solidFill>
          </w14:textFill>
        </w:rPr>
        <w:t>年修订）</w:t>
      </w:r>
      <w:bookmarkEnd w:id="31"/>
      <w:bookmarkEnd w:id="32"/>
      <w:bookmarkEnd w:id="33"/>
      <w:bookmarkEnd w:id="34"/>
      <w:bookmarkEnd w:id="35"/>
      <w:bookmarkEnd w:id="36"/>
      <w:bookmarkEnd w:id="37"/>
      <w:bookmarkEnd w:id="38"/>
      <w:bookmarkEnd w:id="39"/>
      <w:bookmarkEnd w:id="40"/>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rFonts w:ascii="宋体"/>
          <w:color w:val="000000" w:themeColor="text1"/>
          <w14:textFill>
            <w14:solidFill>
              <w14:schemeClr w14:val="tx1"/>
            </w14:solidFill>
          </w14:textFill>
        </w:rPr>
      </w:pPr>
    </w:p>
    <w:p>
      <w:pPr>
        <w:pStyle w:val="77"/>
        <w:ind w:firstLine="1200" w:firstLineChars="400"/>
        <w:rPr>
          <w:rFonts w:ascii="宋体"/>
          <w:color w:val="000000" w:themeColor="text1"/>
          <w:sz w:val="30"/>
          <w:szCs w:val="30"/>
          <w14:textFill>
            <w14:solidFill>
              <w14:schemeClr w14:val="tx1"/>
            </w14:solidFill>
          </w14:textFill>
        </w:rPr>
      </w:pPr>
    </w:p>
    <w:p>
      <w:pPr>
        <w:pStyle w:val="77"/>
        <w:ind w:firstLine="0" w:firstLineChars="0"/>
        <w:jc w:val="center"/>
        <w:rPr>
          <w:rFonts w:ascii="宋体"/>
          <w:b/>
          <w:bCs/>
          <w:color w:val="000000" w:themeColor="text1"/>
          <w:sz w:val="30"/>
          <w:szCs w:val="30"/>
          <w14:textFill>
            <w14:solidFill>
              <w14:schemeClr w14:val="tx1"/>
            </w14:solidFill>
          </w14:textFill>
        </w:rPr>
      </w:pPr>
    </w:p>
    <w:p>
      <w:pPr>
        <w:spacing w:line="360" w:lineRule="auto"/>
        <w:ind w:firstLine="1260" w:firstLineChars="450"/>
        <w:rPr>
          <w:rFonts w:eastAsia="黑体"/>
          <w:color w:val="000000" w:themeColor="text1"/>
          <w:sz w:val="28"/>
          <w:szCs w:val="28"/>
          <w:u w:val="single"/>
          <w14:textFill>
            <w14:solidFill>
              <w14:schemeClr w14:val="tx1"/>
            </w14:solidFill>
          </w14:textFill>
        </w:rPr>
      </w:pPr>
      <w:r>
        <w:rPr>
          <w:rFonts w:eastAsia="黑体"/>
          <w:color w:val="000000" w:themeColor="text1"/>
          <w:sz w:val="28"/>
          <w:szCs w:val="28"/>
          <w14:textFill>
            <w14:solidFill>
              <w14:schemeClr w14:val="tx1"/>
            </w14:solidFill>
          </w14:textFill>
        </w:rPr>
        <w:t>编制单位</w:t>
      </w:r>
      <w:r>
        <w:rPr>
          <w:rFonts w:eastAsia="黑体"/>
          <w:color w:val="000000" w:themeColor="text1"/>
          <w:sz w:val="28"/>
          <w:szCs w:val="28"/>
          <w:u w:val="single"/>
          <w14:textFill>
            <w14:solidFill>
              <w14:schemeClr w14:val="tx1"/>
            </w14:solidFill>
          </w14:textFill>
        </w:rPr>
        <w:t xml:space="preserve">       </w:t>
      </w:r>
      <w:r>
        <w:rPr>
          <w:rFonts w:hint="eastAsia" w:eastAsia="黑体"/>
          <w:color w:val="000000" w:themeColor="text1"/>
          <w:sz w:val="28"/>
          <w:szCs w:val="28"/>
          <w:u w:val="single"/>
          <w14:textFill>
            <w14:solidFill>
              <w14:schemeClr w14:val="tx1"/>
            </w14:solidFill>
          </w14:textFill>
        </w:rPr>
        <w:t>莆田市城厢区人民政府</w:t>
      </w:r>
      <w:r>
        <w:rPr>
          <w:rFonts w:eastAsia="黑体"/>
          <w:color w:val="000000" w:themeColor="text1"/>
          <w:sz w:val="28"/>
          <w:szCs w:val="28"/>
          <w:u w:val="single"/>
          <w14:textFill>
            <w14:solidFill>
              <w14:schemeClr w14:val="tx1"/>
            </w14:solidFill>
          </w14:textFill>
        </w:rPr>
        <w:t xml:space="preserve">          </w:t>
      </w:r>
    </w:p>
    <w:p>
      <w:pPr>
        <w:spacing w:line="360" w:lineRule="auto"/>
        <w:rPr>
          <w:rFonts w:eastAsia="黑体"/>
          <w:color w:val="000000" w:themeColor="text1"/>
          <w:sz w:val="28"/>
          <w:szCs w:val="28"/>
          <w:u w:val="single"/>
          <w14:textFill>
            <w14:solidFill>
              <w14:schemeClr w14:val="tx1"/>
            </w14:solidFill>
          </w14:textFill>
        </w:rPr>
      </w:pPr>
      <w:r>
        <w:rPr>
          <w:rFonts w:eastAsia="黑体"/>
          <w:color w:val="000000" w:themeColor="text1"/>
          <w:kern w:val="0"/>
          <w:sz w:val="28"/>
          <w:szCs w:val="28"/>
          <w14:textFill>
            <w14:solidFill>
              <w14:schemeClr w14:val="tx1"/>
            </w14:solidFill>
          </w14:textFill>
        </w:rPr>
        <w:t xml:space="preserve">         版 本 号</w:t>
      </w:r>
      <w:r>
        <w:rPr>
          <w:rFonts w:eastAsia="黑体"/>
          <w:color w:val="000000" w:themeColor="text1"/>
          <w:sz w:val="28"/>
          <w:szCs w:val="28"/>
          <w:u w:val="single"/>
          <w14:textFill>
            <w14:solidFill>
              <w14:schemeClr w14:val="tx1"/>
            </w14:solidFill>
          </w14:textFill>
        </w:rPr>
        <w:t>　　　    CXYYS-201</w:t>
      </w:r>
      <w:r>
        <w:rPr>
          <w:rFonts w:hint="eastAsia" w:eastAsia="黑体"/>
          <w:color w:val="000000" w:themeColor="text1"/>
          <w:sz w:val="28"/>
          <w:szCs w:val="28"/>
          <w:u w:val="single"/>
          <w14:textFill>
            <w14:solidFill>
              <w14:schemeClr w14:val="tx1"/>
            </w14:solidFill>
          </w14:textFill>
        </w:rPr>
        <w:t>9</w:t>
      </w:r>
      <w:r>
        <w:rPr>
          <w:rFonts w:eastAsia="黑体"/>
          <w:color w:val="000000" w:themeColor="text1"/>
          <w:sz w:val="28"/>
          <w:szCs w:val="28"/>
          <w:u w:val="single"/>
          <w14:textFill>
            <w14:solidFill>
              <w14:schemeClr w14:val="tx1"/>
            </w14:solidFill>
          </w14:textFill>
        </w:rPr>
        <w:t xml:space="preserve">-01　 　     　 </w:t>
      </w:r>
    </w:p>
    <w:p>
      <w:pPr>
        <w:spacing w:line="360" w:lineRule="auto"/>
        <w:rPr>
          <w:color w:val="000000" w:themeColor="text1"/>
          <w14:textFill>
            <w14:solidFill>
              <w14:schemeClr w14:val="tx1"/>
            </w14:solidFill>
          </w14:textFill>
        </w:rPr>
      </w:pPr>
      <w:r>
        <w:rPr>
          <w:rFonts w:eastAsia="黑体"/>
          <w:color w:val="000000" w:themeColor="text1"/>
          <w:sz w:val="28"/>
          <w:szCs w:val="28"/>
          <w14:textFill>
            <w14:solidFill>
              <w14:schemeClr w14:val="tx1"/>
            </w14:solidFill>
          </w14:textFill>
        </w:rPr>
        <w:t xml:space="preserve">         实施日期</w:t>
      </w:r>
      <w:r>
        <w:rPr>
          <w:rFonts w:eastAsia="黑体"/>
          <w:color w:val="000000" w:themeColor="text1"/>
          <w:sz w:val="28"/>
          <w:szCs w:val="28"/>
          <w:u w:val="single"/>
          <w14:textFill>
            <w14:solidFill>
              <w14:schemeClr w14:val="tx1"/>
            </w14:solidFill>
          </w14:textFill>
        </w:rPr>
        <w:t>　　　　　 　          　　　　　　　</w:t>
      </w:r>
    </w:p>
    <w:p>
      <w:pPr>
        <w:rPr>
          <w:color w:val="000000" w:themeColor="text1"/>
          <w14:textFill>
            <w14:solidFill>
              <w14:schemeClr w14:val="tx1"/>
            </w14:solidFill>
          </w14:textFill>
        </w:rPr>
        <w:sectPr>
          <w:pgSz w:w="11906" w:h="16838"/>
          <w:pgMar w:top="1440" w:right="1800" w:bottom="1440" w:left="1800" w:header="851" w:footer="454" w:gutter="0"/>
          <w:pgNumType w:start="1"/>
          <w:cols w:space="720" w:num="1"/>
          <w:docGrid w:type="lines" w:linePitch="381" w:charSpace="0"/>
        </w:sectPr>
      </w:pPr>
      <w:bookmarkStart w:id="41" w:name="_Toc523219292"/>
      <w:bookmarkStart w:id="42" w:name="_Toc523219581"/>
      <w:bookmarkStart w:id="43" w:name="_Toc527026527"/>
      <w:bookmarkStart w:id="44" w:name="_Toc15923"/>
      <w:bookmarkStart w:id="45" w:name="_Toc522893223"/>
      <w:bookmarkStart w:id="46" w:name="_Toc523153498"/>
      <w:bookmarkStart w:id="47" w:name="_Toc523220067"/>
      <w:bookmarkStart w:id="48" w:name="_Toc529453252"/>
      <w:bookmarkStart w:id="49" w:name="_Toc523223880"/>
      <w:bookmarkStart w:id="50" w:name="_Toc529453098"/>
      <w:bookmarkStart w:id="51" w:name="_Toc21298"/>
      <w:bookmarkStart w:id="52" w:name="_Toc27714"/>
      <w:bookmarkStart w:id="53" w:name="_Toc523223340"/>
      <w:bookmarkStart w:id="54" w:name="_Toc528234234"/>
      <w:bookmarkStart w:id="55" w:name="_Toc522893261"/>
    </w:p>
    <w:p>
      <w:pPr>
        <w:pStyle w:val="2"/>
        <w:sectPr>
          <w:pgSz w:w="11906" w:h="16838"/>
          <w:pgMar w:top="1440" w:right="1800" w:bottom="1440" w:left="1800" w:header="851" w:footer="454" w:gutter="0"/>
          <w:pgNumType w:start="1"/>
          <w:cols w:space="720" w:num="1"/>
          <w:docGrid w:type="lines" w:linePitch="381" w:charSpace="0"/>
        </w:sectPr>
      </w:pPr>
    </w:p>
    <w:p>
      <w:pPr>
        <w:rPr>
          <w:color w:val="000000" w:themeColor="text1"/>
          <w14:textFill>
            <w14:solidFill>
              <w14:schemeClr w14:val="tx1"/>
            </w14:solidFill>
          </w14:textFill>
        </w:rPr>
      </w:pPr>
    </w:p>
    <w:sdt>
      <w:sdtPr>
        <w:rPr>
          <w:rFonts w:ascii="宋体" w:hAnsi="宋体"/>
          <w:b/>
          <w:bCs/>
          <w:color w:val="000000" w:themeColor="text1"/>
          <w:kern w:val="2"/>
          <w:sz w:val="28"/>
          <w:szCs w:val="28"/>
          <w14:textFill>
            <w14:solidFill>
              <w14:schemeClr w14:val="tx1"/>
            </w14:solidFill>
          </w14:textFill>
        </w:rPr>
        <w:id w:val="147463997"/>
        <w:docPartObj>
          <w:docPartGallery w:val="Table of Contents"/>
          <w:docPartUnique/>
        </w:docPartObj>
      </w:sdtPr>
      <w:sdtEndPr>
        <w:rPr>
          <w:rFonts w:ascii="Times New Roman" w:hAnsi="Times New Roman"/>
          <w:b/>
          <w:bCs/>
          <w:color w:val="000000" w:themeColor="text1"/>
          <w:kern w:val="2"/>
          <w:sz w:val="20"/>
          <w:szCs w:val="20"/>
          <w14:textFill>
            <w14:solidFill>
              <w14:schemeClr w14:val="tx1"/>
            </w14:solidFill>
          </w14:textFill>
        </w:rPr>
      </w:sdtEndPr>
      <w:sdtContent>
        <w:p>
          <w:pPr>
            <w:pStyle w:val="170"/>
            <w:tabs>
              <w:tab w:val="right" w:leader="dot" w:pos="8306"/>
            </w:tabs>
            <w:jc w:val="center"/>
            <w:rPr>
              <w:rFonts w:ascii="宋体" w:hAnsi="宋体"/>
              <w:b/>
              <w:bCs/>
              <w:color w:val="000000" w:themeColor="text1"/>
              <w:kern w:val="2"/>
              <w:sz w:val="28"/>
              <w:szCs w:val="28"/>
              <w14:textFill>
                <w14:solidFill>
                  <w14:schemeClr w14:val="tx1"/>
                </w14:solidFill>
              </w14:textFill>
            </w:rPr>
          </w:pPr>
          <w:r>
            <w:rPr>
              <w:rFonts w:hint="eastAsia" w:ascii="宋体" w:hAnsi="宋体"/>
              <w:b/>
              <w:bCs/>
              <w:color w:val="000000" w:themeColor="text1"/>
              <w:kern w:val="2"/>
              <w:sz w:val="28"/>
              <w:szCs w:val="28"/>
              <w14:textFill>
                <w14:solidFill>
                  <w14:schemeClr w14:val="tx1"/>
                </w14:solidFill>
              </w14:textFill>
            </w:rPr>
            <w:t>目 录</w:t>
          </w:r>
        </w:p>
        <w:p>
          <w:pPr>
            <w:pStyle w:val="26"/>
            <w:tabs>
              <w:tab w:val="right" w:leader="dot" w:pos="8306"/>
            </w:tabs>
            <w:spacing w:before="190" w:after="190" w:line="240" w:lineRule="auto"/>
            <w:rPr>
              <w:rFonts w:eastAsia="宋体"/>
              <w:b/>
              <w:bCs/>
              <w:color w:val="000000" w:themeColor="text1"/>
              <w:sz w:val="24"/>
              <w:szCs w:val="24"/>
              <w14:textFill>
                <w14:solidFill>
                  <w14:schemeClr w14:val="tx1"/>
                </w14:solidFill>
              </w14:textFill>
            </w:rPr>
          </w:pPr>
          <w:r>
            <w:rPr>
              <w:rFonts w:eastAsia="宋体"/>
              <w:color w:val="000000" w:themeColor="text1"/>
              <w:sz w:val="24"/>
              <w:szCs w:val="24"/>
              <w14:textFill>
                <w14:solidFill>
                  <w14:schemeClr w14:val="tx1"/>
                </w14:solidFill>
              </w14:textFill>
            </w:rPr>
            <w:fldChar w:fldCharType="begin"/>
          </w:r>
          <w:r>
            <w:rPr>
              <w:rFonts w:eastAsia="宋体"/>
              <w:color w:val="000000" w:themeColor="text1"/>
              <w:sz w:val="24"/>
              <w:szCs w:val="24"/>
              <w14:textFill>
                <w14:solidFill>
                  <w14:schemeClr w14:val="tx1"/>
                </w14:solidFill>
              </w14:textFill>
            </w:rPr>
            <w:instrText xml:space="preserve">TOC \o "1-3" \h \u </w:instrText>
          </w:r>
          <w:r>
            <w:rPr>
              <w:rFonts w:eastAsia="宋体"/>
              <w:color w:val="000000" w:themeColor="text1"/>
              <w:sz w:val="24"/>
              <w:szCs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"_Toc26657" </w:instrText>
          </w:r>
          <w:r>
            <w:rPr>
              <w:color w:val="000000" w:themeColor="text1"/>
              <w14:textFill>
                <w14:solidFill>
                  <w14:schemeClr w14:val="tx1"/>
                </w14:solidFill>
              </w14:textFill>
            </w:rPr>
            <w:fldChar w:fldCharType="separate"/>
          </w:r>
          <w:r>
            <w:rPr>
              <w:rFonts w:eastAsia="宋体"/>
              <w:b/>
              <w:bCs/>
              <w:color w:val="000000" w:themeColor="text1"/>
              <w:sz w:val="24"/>
              <w:szCs w:val="24"/>
              <w14:textFill>
                <w14:solidFill>
                  <w14:schemeClr w14:val="tx1"/>
                </w14:solidFill>
              </w14:textFill>
            </w:rPr>
            <w:t>1总则</w:t>
          </w:r>
          <w:r>
            <w:rPr>
              <w:rFonts w:eastAsia="宋体"/>
              <w:b/>
              <w:bCs/>
              <w:color w:val="000000" w:themeColor="text1"/>
              <w:sz w:val="24"/>
              <w:szCs w:val="24"/>
              <w14:textFill>
                <w14:solidFill>
                  <w14:schemeClr w14:val="tx1"/>
                </w14:solidFill>
              </w14:textFill>
            </w:rPr>
            <w:tab/>
          </w:r>
          <w:r>
            <w:rPr>
              <w:rFonts w:eastAsia="宋体"/>
              <w:b/>
              <w:bCs/>
              <w:color w:val="000000" w:themeColor="text1"/>
              <w:sz w:val="24"/>
              <w:szCs w:val="24"/>
              <w14:textFill>
                <w14:solidFill>
                  <w14:schemeClr w14:val="tx1"/>
                </w14:solidFill>
              </w14:textFill>
            </w:rPr>
            <w:fldChar w:fldCharType="begin"/>
          </w:r>
          <w:r>
            <w:rPr>
              <w:rFonts w:eastAsia="宋体"/>
              <w:b/>
              <w:bCs/>
              <w:color w:val="000000" w:themeColor="text1"/>
              <w:sz w:val="24"/>
              <w:szCs w:val="24"/>
              <w14:textFill>
                <w14:solidFill>
                  <w14:schemeClr w14:val="tx1"/>
                </w14:solidFill>
              </w14:textFill>
            </w:rPr>
            <w:instrText xml:space="preserve"> PAGEREF _Toc26657 </w:instrText>
          </w:r>
          <w:r>
            <w:rPr>
              <w:rFonts w:eastAsia="宋体"/>
              <w:b/>
              <w:bCs/>
              <w:color w:val="000000" w:themeColor="text1"/>
              <w:sz w:val="24"/>
              <w:szCs w:val="24"/>
              <w14:textFill>
                <w14:solidFill>
                  <w14:schemeClr w14:val="tx1"/>
                </w14:solidFill>
              </w14:textFill>
            </w:rPr>
            <w:fldChar w:fldCharType="separate"/>
          </w:r>
          <w:r>
            <w:rPr>
              <w:rFonts w:eastAsia="宋体"/>
              <w:b/>
              <w:bCs/>
              <w:color w:val="000000" w:themeColor="text1"/>
              <w:sz w:val="24"/>
              <w:szCs w:val="24"/>
              <w14:textFill>
                <w14:solidFill>
                  <w14:schemeClr w14:val="tx1"/>
                </w14:solidFill>
              </w14:textFill>
            </w:rPr>
            <w:t>1</w:t>
          </w:r>
          <w:r>
            <w:rPr>
              <w:rFonts w:eastAsia="宋体"/>
              <w:b/>
              <w:bCs/>
              <w:color w:val="000000" w:themeColor="text1"/>
              <w:sz w:val="24"/>
              <w:szCs w:val="24"/>
              <w14:textFill>
                <w14:solidFill>
                  <w14:schemeClr w14:val="tx1"/>
                </w14:solidFill>
              </w14:textFill>
            </w:rPr>
            <w:fldChar w:fldCharType="end"/>
          </w:r>
          <w:r>
            <w:rPr>
              <w:rFonts w:eastAsia="宋体"/>
              <w:b/>
              <w:bCs/>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"_Toc1356"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1.1编制目的</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_Toc1356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"_Toc8227"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1.2编制依据</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_Toc8227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"_Toc31367"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1.3适用范围</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_Toc31367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"_Toc9426"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1.4预案衔接</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_Toc9426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"_Toc2814"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1.5工作原则</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_Toc2814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6</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26"/>
            <w:tabs>
              <w:tab w:val="right" w:leader="dot" w:pos="8306"/>
            </w:tabs>
            <w:spacing w:before="190" w:after="190" w:line="240" w:lineRule="auto"/>
            <w:rPr>
              <w:rFonts w:eastAsia="宋体"/>
              <w:b/>
              <w:bCs/>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"_Toc13565" </w:instrText>
          </w:r>
          <w:r>
            <w:rPr>
              <w:color w:val="000000" w:themeColor="text1"/>
              <w14:textFill>
                <w14:solidFill>
                  <w14:schemeClr w14:val="tx1"/>
                </w14:solidFill>
              </w14:textFill>
            </w:rPr>
            <w:fldChar w:fldCharType="separate"/>
          </w:r>
          <w:r>
            <w:rPr>
              <w:rFonts w:eastAsia="宋体"/>
              <w:b/>
              <w:bCs/>
              <w:color w:val="000000" w:themeColor="text1"/>
              <w:sz w:val="24"/>
              <w:szCs w:val="24"/>
              <w14:textFill>
                <w14:solidFill>
                  <w14:schemeClr w14:val="tx1"/>
                </w14:solidFill>
              </w14:textFill>
            </w:rPr>
            <w:t>2应急组织指挥体系</w:t>
          </w:r>
          <w:r>
            <w:rPr>
              <w:rFonts w:eastAsia="宋体"/>
              <w:b/>
              <w:bCs/>
              <w:color w:val="000000" w:themeColor="text1"/>
              <w:sz w:val="24"/>
              <w:szCs w:val="24"/>
              <w14:textFill>
                <w14:solidFill>
                  <w14:schemeClr w14:val="tx1"/>
                </w14:solidFill>
              </w14:textFill>
            </w:rPr>
            <w:tab/>
          </w:r>
          <w:r>
            <w:rPr>
              <w:rFonts w:eastAsia="宋体"/>
              <w:b/>
              <w:bCs/>
              <w:color w:val="000000" w:themeColor="text1"/>
              <w:sz w:val="24"/>
              <w:szCs w:val="24"/>
              <w14:textFill>
                <w14:solidFill>
                  <w14:schemeClr w14:val="tx1"/>
                </w14:solidFill>
              </w14:textFill>
            </w:rPr>
            <w:fldChar w:fldCharType="begin"/>
          </w:r>
          <w:r>
            <w:rPr>
              <w:rFonts w:eastAsia="宋体"/>
              <w:b/>
              <w:bCs/>
              <w:color w:val="000000" w:themeColor="text1"/>
              <w:sz w:val="24"/>
              <w:szCs w:val="24"/>
              <w14:textFill>
                <w14:solidFill>
                  <w14:schemeClr w14:val="tx1"/>
                </w14:solidFill>
              </w14:textFill>
            </w:rPr>
            <w:instrText xml:space="preserve"> PAGEREF _Toc13565 </w:instrText>
          </w:r>
          <w:r>
            <w:rPr>
              <w:rFonts w:eastAsia="宋体"/>
              <w:b/>
              <w:bCs/>
              <w:color w:val="000000" w:themeColor="text1"/>
              <w:sz w:val="24"/>
              <w:szCs w:val="24"/>
              <w14:textFill>
                <w14:solidFill>
                  <w14:schemeClr w14:val="tx1"/>
                </w14:solidFill>
              </w14:textFill>
            </w:rPr>
            <w:fldChar w:fldCharType="separate"/>
          </w:r>
          <w:r>
            <w:rPr>
              <w:rFonts w:eastAsia="宋体"/>
              <w:b/>
              <w:bCs/>
              <w:color w:val="000000" w:themeColor="text1"/>
              <w:sz w:val="24"/>
              <w:szCs w:val="24"/>
              <w14:textFill>
                <w14:solidFill>
                  <w14:schemeClr w14:val="tx1"/>
                </w14:solidFill>
              </w14:textFill>
            </w:rPr>
            <w:t>7</w:t>
          </w:r>
          <w:r>
            <w:rPr>
              <w:rFonts w:eastAsia="宋体"/>
              <w:b/>
              <w:bCs/>
              <w:color w:val="000000" w:themeColor="text1"/>
              <w:sz w:val="24"/>
              <w:szCs w:val="24"/>
              <w14:textFill>
                <w14:solidFill>
                  <w14:schemeClr w14:val="tx1"/>
                </w14:solidFill>
              </w14:textFill>
            </w:rPr>
            <w:fldChar w:fldCharType="end"/>
          </w:r>
          <w:r>
            <w:rPr>
              <w:rFonts w:eastAsia="宋体"/>
              <w:b/>
              <w:bCs/>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"_Toc15977"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2.1应急组织指挥机构</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_Toc15977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7</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"_Toc29979"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2.2现场应急指挥部</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_Toc29979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8</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"_Toc23699"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2.3现场应急工作组</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_Toc23699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9</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26"/>
            <w:tabs>
              <w:tab w:val="right" w:leader="dot" w:pos="8306"/>
            </w:tabs>
            <w:spacing w:before="190" w:after="190" w:line="240" w:lineRule="auto"/>
            <w:rPr>
              <w:rFonts w:eastAsia="宋体"/>
              <w:b/>
              <w:bCs/>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"_Toc13877" </w:instrText>
          </w:r>
          <w:r>
            <w:rPr>
              <w:color w:val="000000" w:themeColor="text1"/>
              <w14:textFill>
                <w14:solidFill>
                  <w14:schemeClr w14:val="tx1"/>
                </w14:solidFill>
              </w14:textFill>
            </w:rPr>
            <w:fldChar w:fldCharType="separate"/>
          </w:r>
          <w:r>
            <w:rPr>
              <w:rFonts w:eastAsia="宋体"/>
              <w:b/>
              <w:bCs/>
              <w:color w:val="000000" w:themeColor="text1"/>
              <w:sz w:val="24"/>
              <w:szCs w:val="24"/>
              <w14:textFill>
                <w14:solidFill>
                  <w14:schemeClr w14:val="tx1"/>
                </w14:solidFill>
              </w14:textFill>
            </w:rPr>
            <w:t>3应急响应</w:t>
          </w:r>
          <w:r>
            <w:rPr>
              <w:rFonts w:eastAsia="宋体"/>
              <w:b/>
              <w:bCs/>
              <w:color w:val="000000" w:themeColor="text1"/>
              <w:sz w:val="24"/>
              <w:szCs w:val="24"/>
              <w14:textFill>
                <w14:solidFill>
                  <w14:schemeClr w14:val="tx1"/>
                </w14:solidFill>
              </w14:textFill>
            </w:rPr>
            <w:tab/>
          </w:r>
          <w:r>
            <w:rPr>
              <w:rFonts w:eastAsia="宋体"/>
              <w:b/>
              <w:bCs/>
              <w:color w:val="000000" w:themeColor="text1"/>
              <w:sz w:val="24"/>
              <w:szCs w:val="24"/>
              <w14:textFill>
                <w14:solidFill>
                  <w14:schemeClr w14:val="tx1"/>
                </w14:solidFill>
              </w14:textFill>
            </w:rPr>
            <w:fldChar w:fldCharType="begin"/>
          </w:r>
          <w:r>
            <w:rPr>
              <w:rFonts w:eastAsia="宋体"/>
              <w:b/>
              <w:bCs/>
              <w:color w:val="000000" w:themeColor="text1"/>
              <w:sz w:val="24"/>
              <w:szCs w:val="24"/>
              <w14:textFill>
                <w14:solidFill>
                  <w14:schemeClr w14:val="tx1"/>
                </w14:solidFill>
              </w14:textFill>
            </w:rPr>
            <w:instrText xml:space="preserve"> PAGEREF _Toc13877 </w:instrText>
          </w:r>
          <w:r>
            <w:rPr>
              <w:rFonts w:eastAsia="宋体"/>
              <w:b/>
              <w:bCs/>
              <w:color w:val="000000" w:themeColor="text1"/>
              <w:sz w:val="24"/>
              <w:szCs w:val="24"/>
              <w14:textFill>
                <w14:solidFill>
                  <w14:schemeClr w14:val="tx1"/>
                </w14:solidFill>
              </w14:textFill>
            </w:rPr>
            <w:fldChar w:fldCharType="separate"/>
          </w:r>
          <w:r>
            <w:rPr>
              <w:rFonts w:eastAsia="宋体"/>
              <w:b/>
              <w:bCs/>
              <w:color w:val="000000" w:themeColor="text1"/>
              <w:sz w:val="24"/>
              <w:szCs w:val="24"/>
              <w14:textFill>
                <w14:solidFill>
                  <w14:schemeClr w14:val="tx1"/>
                </w14:solidFill>
              </w14:textFill>
            </w:rPr>
            <w:t>9</w:t>
          </w:r>
          <w:r>
            <w:rPr>
              <w:rFonts w:eastAsia="宋体"/>
              <w:b/>
              <w:bCs/>
              <w:color w:val="000000" w:themeColor="text1"/>
              <w:sz w:val="24"/>
              <w:szCs w:val="24"/>
              <w14:textFill>
                <w14:solidFill>
                  <w14:schemeClr w14:val="tx1"/>
                </w14:solidFill>
              </w14:textFill>
            </w:rPr>
            <w:fldChar w:fldCharType="end"/>
          </w:r>
          <w:r>
            <w:rPr>
              <w:rFonts w:eastAsia="宋体"/>
              <w:b/>
              <w:bCs/>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"_Toc8482"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3.1信息收集和研判</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_Toc8482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9</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"_Toc16654"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3.1.1信息收集</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_Toc16654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9</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"_Toc9888"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3.1.2信息研判和会商</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_Toc9888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11</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"_Toc12182"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3.2预警</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_Toc12182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11</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"_Toc2721"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3.2.1预警分级</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_Toc2721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11</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"_Toc28395"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3.2.2预警的启动条件</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_Toc28395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12</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"_Toc7226"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3.2.3发布预警和预警级别调整</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_Toc7226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14</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"_Toc5752" </w:instrText>
          </w:r>
          <w:r>
            <w:rPr>
              <w:color w:val="000000" w:themeColor="text1"/>
              <w14:textFill>
                <w14:solidFill>
                  <w14:schemeClr w14:val="tx1"/>
                </w14:solidFill>
              </w14:textFill>
            </w:rPr>
            <w:fldChar w:fldCharType="separate"/>
          </w:r>
          <w:r>
            <w:rPr>
              <w:rFonts w:ascii="Times New Roman" w:hAnsi="Times New Roman" w:cs="Times New Roman"/>
              <w:bCs/>
              <w:i w:val="0"/>
              <w:iCs w:val="0"/>
              <w:color w:val="000000" w:themeColor="text1"/>
              <w:sz w:val="24"/>
              <w:szCs w:val="24"/>
              <w14:textFill>
                <w14:solidFill>
                  <w14:schemeClr w14:val="tx1"/>
                </w14:solidFill>
              </w14:textFill>
            </w:rPr>
            <w:t>3.2.3.1预警发布流程</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_Toc5752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14</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"_Toc12076"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3.2.4预警行动</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_Toc12076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15</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"_Toc25841"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3.2.5预警解除</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_Toc25841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16</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"_Toc16753"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3.3信息报告与通报</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_Toc16753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16</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"_Toc31288"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3.3.1信息报告程序</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_Toc31288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16</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"_Toc19970"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3.3.2信息报告时限</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_Toc19970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17</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"_Toc16154"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3.3.3信息通报程序</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_Toc16154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18</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"_Toc6373"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3.3.4信息报告和通报内容</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_Toc6373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18</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"_Toc17215"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3.4事态研判</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_Toc17215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19</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"_Toc16688"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3.5应急监测</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_Toc16688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20</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"_Toc9170"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3.5.1开展应急监测程序</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_Toc9170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20</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"_Toc11324"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3.5.2制定应急监测方案</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_Toc11324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21</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"_Toc28927"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3.6污染源排查与处置</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_Toc28927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22</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"_Toc31709"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3.6.1明确排查对象</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_Toc31709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22</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"_Toc13887"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3.6.2切断污染源</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_Toc13887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23</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"_Toc727"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3.7应急处置</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_Toc727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24</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"_Toc17350"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3.7.1制定现场处置方案</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_Toc17350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24</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"_Toc32516"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3.7.2供水安全保障</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_Toc32516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26</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"_Toc15513"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3.8物资调集及应急设施启用</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_Toc15513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27</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"_Toc14753"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3.9舆情监测与信息发布</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_Toc14753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27</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"_Toc22048"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3.9.1发布的主要内容</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_Toc22048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28</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"_Toc26384"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3.10响应终止</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_Toc26384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28</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26"/>
            <w:tabs>
              <w:tab w:val="right" w:leader="dot" w:pos="8306"/>
            </w:tabs>
            <w:spacing w:before="190" w:after="190" w:line="240" w:lineRule="auto"/>
            <w:rPr>
              <w:rFonts w:eastAsia="宋体"/>
              <w:b/>
              <w:bCs/>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"_Toc23913" </w:instrText>
          </w:r>
          <w:r>
            <w:rPr>
              <w:color w:val="000000" w:themeColor="text1"/>
              <w14:textFill>
                <w14:solidFill>
                  <w14:schemeClr w14:val="tx1"/>
                </w14:solidFill>
              </w14:textFill>
            </w:rPr>
            <w:fldChar w:fldCharType="separate"/>
          </w:r>
          <w:r>
            <w:rPr>
              <w:rFonts w:eastAsia="宋体"/>
              <w:b/>
              <w:bCs/>
              <w:color w:val="000000" w:themeColor="text1"/>
              <w:sz w:val="24"/>
              <w:szCs w:val="24"/>
              <w14:textFill>
                <w14:solidFill>
                  <w14:schemeClr w14:val="tx1"/>
                </w14:solidFill>
              </w14:textFill>
            </w:rPr>
            <w:t>4后期工作</w:t>
          </w:r>
          <w:r>
            <w:rPr>
              <w:rFonts w:eastAsia="宋体"/>
              <w:b/>
              <w:bCs/>
              <w:color w:val="000000" w:themeColor="text1"/>
              <w:sz w:val="24"/>
              <w:szCs w:val="24"/>
              <w14:textFill>
                <w14:solidFill>
                  <w14:schemeClr w14:val="tx1"/>
                </w14:solidFill>
              </w14:textFill>
            </w:rPr>
            <w:tab/>
          </w:r>
          <w:r>
            <w:rPr>
              <w:rFonts w:eastAsia="宋体"/>
              <w:b/>
              <w:bCs/>
              <w:color w:val="000000" w:themeColor="text1"/>
              <w:sz w:val="24"/>
              <w:szCs w:val="24"/>
              <w14:textFill>
                <w14:solidFill>
                  <w14:schemeClr w14:val="tx1"/>
                </w14:solidFill>
              </w14:textFill>
            </w:rPr>
            <w:fldChar w:fldCharType="begin"/>
          </w:r>
          <w:r>
            <w:rPr>
              <w:rFonts w:eastAsia="宋体"/>
              <w:b/>
              <w:bCs/>
              <w:color w:val="000000" w:themeColor="text1"/>
              <w:sz w:val="24"/>
              <w:szCs w:val="24"/>
              <w14:textFill>
                <w14:solidFill>
                  <w14:schemeClr w14:val="tx1"/>
                </w14:solidFill>
              </w14:textFill>
            </w:rPr>
            <w:instrText xml:space="preserve"> PAGEREF _Toc23913 </w:instrText>
          </w:r>
          <w:r>
            <w:rPr>
              <w:rFonts w:eastAsia="宋体"/>
              <w:b/>
              <w:bCs/>
              <w:color w:val="000000" w:themeColor="text1"/>
              <w:sz w:val="24"/>
              <w:szCs w:val="24"/>
              <w14:textFill>
                <w14:solidFill>
                  <w14:schemeClr w14:val="tx1"/>
                </w14:solidFill>
              </w14:textFill>
            </w:rPr>
            <w:fldChar w:fldCharType="separate"/>
          </w:r>
          <w:r>
            <w:rPr>
              <w:rFonts w:eastAsia="宋体"/>
              <w:b/>
              <w:bCs/>
              <w:color w:val="000000" w:themeColor="text1"/>
              <w:sz w:val="24"/>
              <w:szCs w:val="24"/>
              <w14:textFill>
                <w14:solidFill>
                  <w14:schemeClr w14:val="tx1"/>
                </w14:solidFill>
              </w14:textFill>
            </w:rPr>
            <w:t>29</w:t>
          </w:r>
          <w:r>
            <w:rPr>
              <w:rFonts w:eastAsia="宋体"/>
              <w:b/>
              <w:bCs/>
              <w:color w:val="000000" w:themeColor="text1"/>
              <w:sz w:val="24"/>
              <w:szCs w:val="24"/>
              <w14:textFill>
                <w14:solidFill>
                  <w14:schemeClr w14:val="tx1"/>
                </w14:solidFill>
              </w14:textFill>
            </w:rPr>
            <w:fldChar w:fldCharType="end"/>
          </w:r>
          <w:r>
            <w:rPr>
              <w:rFonts w:eastAsia="宋体"/>
              <w:b/>
              <w:bCs/>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"_Toc10637"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4.1后期防控</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_Toc10637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29</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"_Toc30596"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4.2事件调查</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_Toc30596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29</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"_Toc30376"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4.3损害评估</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_Toc30376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29</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"_Toc32145"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4.4善后处置</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_Toc32145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30</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26"/>
            <w:tabs>
              <w:tab w:val="right" w:leader="dot" w:pos="8306"/>
            </w:tabs>
            <w:spacing w:before="190" w:after="190" w:line="240" w:lineRule="auto"/>
            <w:rPr>
              <w:rFonts w:eastAsia="宋体"/>
              <w:b/>
              <w:bCs/>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"_Toc23944" </w:instrText>
          </w:r>
          <w:r>
            <w:rPr>
              <w:color w:val="000000" w:themeColor="text1"/>
              <w14:textFill>
                <w14:solidFill>
                  <w14:schemeClr w14:val="tx1"/>
                </w14:solidFill>
              </w14:textFill>
            </w:rPr>
            <w:fldChar w:fldCharType="separate"/>
          </w:r>
          <w:r>
            <w:rPr>
              <w:rFonts w:eastAsia="宋体"/>
              <w:b/>
              <w:bCs/>
              <w:color w:val="000000" w:themeColor="text1"/>
              <w:sz w:val="24"/>
              <w:szCs w:val="24"/>
              <w14:textFill>
                <w14:solidFill>
                  <w14:schemeClr w14:val="tx1"/>
                </w14:solidFill>
              </w14:textFill>
            </w:rPr>
            <w:t>5应急保障</w:t>
          </w:r>
          <w:r>
            <w:rPr>
              <w:rFonts w:eastAsia="宋体"/>
              <w:b/>
              <w:bCs/>
              <w:color w:val="000000" w:themeColor="text1"/>
              <w:sz w:val="24"/>
              <w:szCs w:val="24"/>
              <w14:textFill>
                <w14:solidFill>
                  <w14:schemeClr w14:val="tx1"/>
                </w14:solidFill>
              </w14:textFill>
            </w:rPr>
            <w:tab/>
          </w:r>
          <w:r>
            <w:rPr>
              <w:rFonts w:eastAsia="宋体"/>
              <w:b/>
              <w:bCs/>
              <w:color w:val="000000" w:themeColor="text1"/>
              <w:sz w:val="24"/>
              <w:szCs w:val="24"/>
              <w14:textFill>
                <w14:solidFill>
                  <w14:schemeClr w14:val="tx1"/>
                </w14:solidFill>
              </w14:textFill>
            </w:rPr>
            <w:fldChar w:fldCharType="begin"/>
          </w:r>
          <w:r>
            <w:rPr>
              <w:rFonts w:eastAsia="宋体"/>
              <w:b/>
              <w:bCs/>
              <w:color w:val="000000" w:themeColor="text1"/>
              <w:sz w:val="24"/>
              <w:szCs w:val="24"/>
              <w14:textFill>
                <w14:solidFill>
                  <w14:schemeClr w14:val="tx1"/>
                </w14:solidFill>
              </w14:textFill>
            </w:rPr>
            <w:instrText xml:space="preserve"> PAGEREF _Toc23944 </w:instrText>
          </w:r>
          <w:r>
            <w:rPr>
              <w:rFonts w:eastAsia="宋体"/>
              <w:b/>
              <w:bCs/>
              <w:color w:val="000000" w:themeColor="text1"/>
              <w:sz w:val="24"/>
              <w:szCs w:val="24"/>
              <w14:textFill>
                <w14:solidFill>
                  <w14:schemeClr w14:val="tx1"/>
                </w14:solidFill>
              </w14:textFill>
            </w:rPr>
            <w:fldChar w:fldCharType="separate"/>
          </w:r>
          <w:r>
            <w:rPr>
              <w:rFonts w:eastAsia="宋体"/>
              <w:b/>
              <w:bCs/>
              <w:color w:val="000000" w:themeColor="text1"/>
              <w:sz w:val="24"/>
              <w:szCs w:val="24"/>
              <w14:textFill>
                <w14:solidFill>
                  <w14:schemeClr w14:val="tx1"/>
                </w14:solidFill>
              </w14:textFill>
            </w:rPr>
            <w:t>31</w:t>
          </w:r>
          <w:r>
            <w:rPr>
              <w:rFonts w:eastAsia="宋体"/>
              <w:b/>
              <w:bCs/>
              <w:color w:val="000000" w:themeColor="text1"/>
              <w:sz w:val="24"/>
              <w:szCs w:val="24"/>
              <w14:textFill>
                <w14:solidFill>
                  <w14:schemeClr w14:val="tx1"/>
                </w14:solidFill>
              </w14:textFill>
            </w:rPr>
            <w:fldChar w:fldCharType="end"/>
          </w:r>
          <w:r>
            <w:rPr>
              <w:rFonts w:eastAsia="宋体"/>
              <w:b/>
              <w:bCs/>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"_Toc6782"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5.1通讯与信息保障</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_Toc6782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31</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"_Toc23612"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5.2应急队伍保障</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_Toc23612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31</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"_Toc16269"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5.3应急资源保障</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_Toc16269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32</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"_Toc9388"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5.4经费保障</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_Toc9388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33</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"_Toc28174"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5.5其他保障</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_Toc28174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33</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"_Toc30174"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5.5.1物资、设备设施运输保障</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_Toc30174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33</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"_Toc2040"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5.5.2医疗卫生救助保障</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_Toc2040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33</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"_Toc5302"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5.5.3治安和人员安全保障</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_Toc5302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33</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"_Toc9803"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5.5.4社会动员保障</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_Toc9803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34</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6"/>
            <w:tabs>
              <w:tab w:val="right" w:leader="dot" w:pos="8306"/>
            </w:tabs>
            <w:spacing w:before="190" w:after="190" w:line="240" w:lineRule="auto"/>
            <w:rPr>
              <w:rFonts w:eastAsia="宋体"/>
              <w:b/>
              <w:bCs/>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"_Toc1876" </w:instrText>
          </w:r>
          <w:r>
            <w:rPr>
              <w:color w:val="000000" w:themeColor="text1"/>
              <w14:textFill>
                <w14:solidFill>
                  <w14:schemeClr w14:val="tx1"/>
                </w14:solidFill>
              </w14:textFill>
            </w:rPr>
            <w:fldChar w:fldCharType="separate"/>
          </w:r>
          <w:r>
            <w:rPr>
              <w:rFonts w:eastAsia="宋体"/>
              <w:b/>
              <w:bCs/>
              <w:color w:val="000000" w:themeColor="text1"/>
              <w:sz w:val="24"/>
              <w:szCs w:val="24"/>
              <w14:textFill>
                <w14:solidFill>
                  <w14:schemeClr w14:val="tx1"/>
                </w14:solidFill>
              </w14:textFill>
            </w:rPr>
            <w:t>6附则</w:t>
          </w:r>
          <w:r>
            <w:rPr>
              <w:rFonts w:eastAsia="宋体"/>
              <w:b/>
              <w:bCs/>
              <w:color w:val="000000" w:themeColor="text1"/>
              <w:sz w:val="24"/>
              <w:szCs w:val="24"/>
              <w14:textFill>
                <w14:solidFill>
                  <w14:schemeClr w14:val="tx1"/>
                </w14:solidFill>
              </w14:textFill>
            </w:rPr>
            <w:tab/>
          </w:r>
          <w:r>
            <w:rPr>
              <w:rFonts w:eastAsia="宋体"/>
              <w:b/>
              <w:bCs/>
              <w:color w:val="000000" w:themeColor="text1"/>
              <w:sz w:val="24"/>
              <w:szCs w:val="24"/>
              <w14:textFill>
                <w14:solidFill>
                  <w14:schemeClr w14:val="tx1"/>
                </w14:solidFill>
              </w14:textFill>
            </w:rPr>
            <w:fldChar w:fldCharType="begin"/>
          </w:r>
          <w:r>
            <w:rPr>
              <w:rFonts w:eastAsia="宋体"/>
              <w:b/>
              <w:bCs/>
              <w:color w:val="000000" w:themeColor="text1"/>
              <w:sz w:val="24"/>
              <w:szCs w:val="24"/>
              <w14:textFill>
                <w14:solidFill>
                  <w14:schemeClr w14:val="tx1"/>
                </w14:solidFill>
              </w14:textFill>
            </w:rPr>
            <w:instrText xml:space="preserve"> PAGEREF _Toc1876 </w:instrText>
          </w:r>
          <w:r>
            <w:rPr>
              <w:rFonts w:eastAsia="宋体"/>
              <w:b/>
              <w:bCs/>
              <w:color w:val="000000" w:themeColor="text1"/>
              <w:sz w:val="24"/>
              <w:szCs w:val="24"/>
              <w14:textFill>
                <w14:solidFill>
                  <w14:schemeClr w14:val="tx1"/>
                </w14:solidFill>
              </w14:textFill>
            </w:rPr>
            <w:fldChar w:fldCharType="separate"/>
          </w:r>
          <w:r>
            <w:rPr>
              <w:rFonts w:eastAsia="宋体"/>
              <w:b/>
              <w:bCs/>
              <w:color w:val="000000" w:themeColor="text1"/>
              <w:sz w:val="24"/>
              <w:szCs w:val="24"/>
              <w14:textFill>
                <w14:solidFill>
                  <w14:schemeClr w14:val="tx1"/>
                </w14:solidFill>
              </w14:textFill>
            </w:rPr>
            <w:t>34</w:t>
          </w:r>
          <w:r>
            <w:rPr>
              <w:rFonts w:eastAsia="宋体"/>
              <w:b/>
              <w:bCs/>
              <w:color w:val="000000" w:themeColor="text1"/>
              <w:sz w:val="24"/>
              <w:szCs w:val="24"/>
              <w14:textFill>
                <w14:solidFill>
                  <w14:schemeClr w14:val="tx1"/>
                </w14:solidFill>
              </w14:textFill>
            </w:rPr>
            <w:fldChar w:fldCharType="end"/>
          </w:r>
          <w:r>
            <w:rPr>
              <w:rFonts w:eastAsia="宋体"/>
              <w:b/>
              <w:bCs/>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"_Toc11090"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6.1名词术语</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_Toc11090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34</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"_Toc4282"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6.2预案解释权属</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_Toc4282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36</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"_Toc14411"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6.3预案演练和修订</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_Toc14411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36</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"_Toc5739"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6.3.1预案演练</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_Toc5739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36</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20"/>
            <w:tabs>
              <w:tab w:val="right" w:leader="dot" w:pos="8306"/>
            </w:tabs>
            <w:spacing w:line="240" w:lineRule="auto"/>
            <w:rPr>
              <w:rFonts w:ascii="Times New Roman" w:hAnsi="Times New Roman" w:cs="Times New Roman"/>
              <w:i w:val="0"/>
              <w:iCs w:val="0"/>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"_Toc10496" </w:instrText>
          </w:r>
          <w:r>
            <w:rPr>
              <w:color w:val="000000" w:themeColor="text1"/>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6.3.2预案修订</w:t>
          </w:r>
          <w:r>
            <w:rPr>
              <w:rFonts w:ascii="Times New Roman" w:hAnsi="Times New Roman" w:cs="Times New Roman"/>
              <w:i w:val="0"/>
              <w:iCs w:val="0"/>
              <w:color w:val="000000" w:themeColor="text1"/>
              <w:sz w:val="24"/>
              <w:szCs w:val="24"/>
              <w14:textFill>
                <w14:solidFill>
                  <w14:schemeClr w14:val="tx1"/>
                </w14:solidFill>
              </w14:textFill>
            </w:rPr>
            <w:tab/>
          </w:r>
          <w:r>
            <w:rPr>
              <w:rFonts w:ascii="Times New Roman" w:hAnsi="Times New Roman" w:cs="Times New Roman"/>
              <w:i w:val="0"/>
              <w:iCs w:val="0"/>
              <w:color w:val="000000" w:themeColor="text1"/>
              <w:sz w:val="24"/>
              <w:szCs w:val="24"/>
              <w14:textFill>
                <w14:solidFill>
                  <w14:schemeClr w14:val="tx1"/>
                </w14:solidFill>
              </w14:textFill>
            </w:rPr>
            <w:fldChar w:fldCharType="begin"/>
          </w:r>
          <w:r>
            <w:rPr>
              <w:rFonts w:ascii="Times New Roman" w:hAnsi="Times New Roman" w:cs="Times New Roman"/>
              <w:i w:val="0"/>
              <w:iCs w:val="0"/>
              <w:color w:val="000000" w:themeColor="text1"/>
              <w:sz w:val="24"/>
              <w:szCs w:val="24"/>
              <w14:textFill>
                <w14:solidFill>
                  <w14:schemeClr w14:val="tx1"/>
                </w14:solidFill>
              </w14:textFill>
            </w:rPr>
            <w:instrText xml:space="preserve"> PAGEREF _Toc10496 </w:instrText>
          </w:r>
          <w:r>
            <w:rPr>
              <w:rFonts w:ascii="Times New Roman" w:hAnsi="Times New Roman" w:cs="Times New Roman"/>
              <w:i w:val="0"/>
              <w:iCs w:val="0"/>
              <w:color w:val="000000" w:themeColor="text1"/>
              <w:sz w:val="24"/>
              <w:szCs w:val="24"/>
              <w14:textFill>
                <w14:solidFill>
                  <w14:schemeClr w14:val="tx1"/>
                </w14:solidFill>
              </w14:textFill>
            </w:rPr>
            <w:fldChar w:fldCharType="separate"/>
          </w:r>
          <w:r>
            <w:rPr>
              <w:rFonts w:ascii="Times New Roman" w:hAnsi="Times New Roman" w:cs="Times New Roman"/>
              <w:i w:val="0"/>
              <w:iCs w:val="0"/>
              <w:color w:val="000000" w:themeColor="text1"/>
              <w:sz w:val="24"/>
              <w:szCs w:val="24"/>
              <w14:textFill>
                <w14:solidFill>
                  <w14:schemeClr w14:val="tx1"/>
                </w14:solidFill>
              </w14:textFill>
            </w:rPr>
            <w:t>37</w:t>
          </w:r>
          <w:r>
            <w:rPr>
              <w:rFonts w:ascii="Times New Roman" w:hAnsi="Times New Roman" w:cs="Times New Roman"/>
              <w:i w:val="0"/>
              <w:iCs w:val="0"/>
              <w:color w:val="000000" w:themeColor="text1"/>
              <w:sz w:val="24"/>
              <w:szCs w:val="24"/>
              <w14:textFill>
                <w14:solidFill>
                  <w14:schemeClr w14:val="tx1"/>
                </w14:solidFill>
              </w14:textFill>
            </w:rPr>
            <w:fldChar w:fldCharType="end"/>
          </w:r>
          <w:r>
            <w:rPr>
              <w:rFonts w:ascii="Times New Roman" w:hAnsi="Times New Roman" w:cs="Times New Roman"/>
              <w:i w:val="0"/>
              <w:iCs w:val="0"/>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"_Toc10261"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6.4预案实施日期</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_Toc10261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37</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26"/>
            <w:tabs>
              <w:tab w:val="right" w:leader="dot" w:pos="8306"/>
            </w:tabs>
            <w:spacing w:before="190" w:after="190" w:line="240" w:lineRule="auto"/>
            <w:rPr>
              <w:rFonts w:eastAsia="宋体"/>
              <w:b/>
              <w:bCs/>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"_Toc3399" </w:instrText>
          </w:r>
          <w:r>
            <w:rPr>
              <w:color w:val="000000" w:themeColor="text1"/>
              <w14:textFill>
                <w14:solidFill>
                  <w14:schemeClr w14:val="tx1"/>
                </w14:solidFill>
              </w14:textFill>
            </w:rPr>
            <w:fldChar w:fldCharType="separate"/>
          </w:r>
          <w:r>
            <w:rPr>
              <w:rFonts w:eastAsia="宋体"/>
              <w:b/>
              <w:bCs/>
              <w:color w:val="000000" w:themeColor="text1"/>
              <w:sz w:val="24"/>
              <w:szCs w:val="24"/>
              <w14:textFill>
                <w14:solidFill>
                  <w14:schemeClr w14:val="tx1"/>
                </w14:solidFill>
              </w14:textFill>
            </w:rPr>
            <w:t>7附件</w:t>
          </w:r>
          <w:r>
            <w:rPr>
              <w:rFonts w:eastAsia="宋体"/>
              <w:b/>
              <w:bCs/>
              <w:color w:val="000000" w:themeColor="text1"/>
              <w:sz w:val="24"/>
              <w:szCs w:val="24"/>
              <w14:textFill>
                <w14:solidFill>
                  <w14:schemeClr w14:val="tx1"/>
                </w14:solidFill>
              </w14:textFill>
            </w:rPr>
            <w:tab/>
          </w:r>
          <w:r>
            <w:rPr>
              <w:rFonts w:eastAsia="宋体"/>
              <w:b/>
              <w:bCs/>
              <w:color w:val="000000" w:themeColor="text1"/>
              <w:sz w:val="24"/>
              <w:szCs w:val="24"/>
              <w14:textFill>
                <w14:solidFill>
                  <w14:schemeClr w14:val="tx1"/>
                </w14:solidFill>
              </w14:textFill>
            </w:rPr>
            <w:fldChar w:fldCharType="begin"/>
          </w:r>
          <w:r>
            <w:rPr>
              <w:rFonts w:eastAsia="宋体"/>
              <w:b/>
              <w:bCs/>
              <w:color w:val="000000" w:themeColor="text1"/>
              <w:sz w:val="24"/>
              <w:szCs w:val="24"/>
              <w14:textFill>
                <w14:solidFill>
                  <w14:schemeClr w14:val="tx1"/>
                </w14:solidFill>
              </w14:textFill>
            </w:rPr>
            <w:instrText xml:space="preserve"> PAGEREF _Toc3399 </w:instrText>
          </w:r>
          <w:r>
            <w:rPr>
              <w:rFonts w:eastAsia="宋体"/>
              <w:b/>
              <w:bCs/>
              <w:color w:val="000000" w:themeColor="text1"/>
              <w:sz w:val="24"/>
              <w:szCs w:val="24"/>
              <w14:textFill>
                <w14:solidFill>
                  <w14:schemeClr w14:val="tx1"/>
                </w14:solidFill>
              </w14:textFill>
            </w:rPr>
            <w:fldChar w:fldCharType="separate"/>
          </w:r>
          <w:r>
            <w:rPr>
              <w:rFonts w:eastAsia="宋体"/>
              <w:b/>
              <w:bCs/>
              <w:color w:val="000000" w:themeColor="text1"/>
              <w:sz w:val="24"/>
              <w:szCs w:val="24"/>
              <w14:textFill>
                <w14:solidFill>
                  <w14:schemeClr w14:val="tx1"/>
                </w14:solidFill>
              </w14:textFill>
            </w:rPr>
            <w:t>38</w:t>
          </w:r>
          <w:r>
            <w:rPr>
              <w:rFonts w:eastAsia="宋体"/>
              <w:b/>
              <w:bCs/>
              <w:color w:val="000000" w:themeColor="text1"/>
              <w:sz w:val="24"/>
              <w:szCs w:val="24"/>
              <w14:textFill>
                <w14:solidFill>
                  <w14:schemeClr w14:val="tx1"/>
                </w14:solidFill>
              </w14:textFill>
            </w:rPr>
            <w:fldChar w:fldCharType="end"/>
          </w:r>
          <w:r>
            <w:rPr>
              <w:rFonts w:eastAsia="宋体"/>
              <w:b/>
              <w:bCs/>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"_Toc24996"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附件</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：城厢区集中式地表水饮用水水源地突发环境事件应急组织指挥体系框架图</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_Toc24996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46</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"_Toc28923"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附件</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w:t>
          </w:r>
          <w:r>
            <w:rPr>
              <w:rFonts w:ascii="Times New Roman" w:hAnsi="Times New Roman" w:eastAsia="宋体" w:cs="Times New Roman"/>
              <w:color w:val="000000" w:themeColor="text1"/>
              <w:sz w:val="24"/>
              <w:szCs w:val="24"/>
              <w14:textFill>
                <w14:solidFill>
                  <w14:schemeClr w14:val="tx1"/>
                </w14:solidFill>
              </w14:textFill>
            </w:rPr>
            <w:t>：不同类型突发环境事件现场应急指挥部及应急工作组组成</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_Toc28923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47</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"_Toc9366"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附件</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w:t>
          </w:r>
          <w:r>
            <w:rPr>
              <w:rFonts w:ascii="Times New Roman" w:hAnsi="Times New Roman" w:eastAsia="宋体" w:cs="Times New Roman"/>
              <w:color w:val="000000" w:themeColor="text1"/>
              <w:sz w:val="24"/>
              <w:szCs w:val="24"/>
              <w14:textFill>
                <w14:solidFill>
                  <w14:schemeClr w14:val="tx1"/>
                </w14:solidFill>
              </w14:textFill>
            </w:rPr>
            <w:t>：城厢区集中式地表水饮用水水源地突发环境事件应急响应流程图</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_Toc9366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48</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"_Toc9807"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附件</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t>：城厢区集中式地表水饮用水水源地突发环境事件现场调查表</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_Toc9807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49</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"_Toc18227"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附件</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5</w:t>
          </w:r>
          <w:r>
            <w:rPr>
              <w:rFonts w:ascii="Times New Roman" w:hAnsi="Times New Roman" w:eastAsia="宋体" w:cs="Times New Roman"/>
              <w:color w:val="000000" w:themeColor="text1"/>
              <w:sz w:val="24"/>
              <w:szCs w:val="24"/>
              <w14:textFill>
                <w14:solidFill>
                  <w14:schemeClr w14:val="tx1"/>
                </w14:solidFill>
              </w14:textFill>
            </w:rPr>
            <w:t>：城厢区集中式地表水饮用水水源地突发环境事件信息报送内容</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_Toc18227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52</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"_Toc16204"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附件</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6</w:t>
          </w:r>
          <w:r>
            <w:rPr>
              <w:rFonts w:ascii="Times New Roman" w:hAnsi="Times New Roman" w:eastAsia="宋体" w:cs="Times New Roman"/>
              <w:color w:val="000000" w:themeColor="text1"/>
              <w:sz w:val="24"/>
              <w:szCs w:val="24"/>
              <w14:textFill>
                <w14:solidFill>
                  <w14:schemeClr w14:val="tx1"/>
                </w14:solidFill>
              </w14:textFill>
            </w:rPr>
            <w:t>：适用于处理不同超标项目的推荐技术</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_Toc16204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55</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"_Toc8164"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附件</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7</w:t>
          </w:r>
          <w:r>
            <w:rPr>
              <w:rFonts w:ascii="Times New Roman" w:hAnsi="Times New Roman" w:eastAsia="宋体" w:cs="Times New Roman"/>
              <w:color w:val="000000" w:themeColor="text1"/>
              <w:sz w:val="24"/>
              <w:szCs w:val="24"/>
              <w14:textFill>
                <w14:solidFill>
                  <w14:schemeClr w14:val="tx1"/>
                </w14:solidFill>
              </w14:textFill>
            </w:rPr>
            <w:t>：城厢区集中式地表水饮用水水源地突发环境事件应急物资储备情况</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_Toc8164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56</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"_Toc22500"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附件</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8</w:t>
          </w:r>
          <w:r>
            <w:rPr>
              <w:rFonts w:ascii="Times New Roman" w:hAnsi="Times New Roman" w:eastAsia="宋体" w:cs="Times New Roman"/>
              <w:color w:val="000000" w:themeColor="text1"/>
              <w:sz w:val="24"/>
              <w:szCs w:val="24"/>
              <w14:textFill>
                <w14:solidFill>
                  <w14:schemeClr w14:val="tx1"/>
                </w14:solidFill>
              </w14:textFill>
            </w:rPr>
            <w:t>：突发事件应急预案启动令和终止令</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_Toc22500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60</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"_Toc17720"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附件</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9</w:t>
          </w:r>
          <w:r>
            <w:rPr>
              <w:rFonts w:ascii="Times New Roman" w:hAnsi="Times New Roman" w:eastAsia="宋体" w:cs="Times New Roman"/>
              <w:color w:val="000000" w:themeColor="text1"/>
              <w:sz w:val="24"/>
              <w:szCs w:val="24"/>
              <w14:textFill>
                <w14:solidFill>
                  <w14:schemeClr w14:val="tx1"/>
                </w14:solidFill>
              </w14:textFill>
            </w:rPr>
            <w:t>：突发环境事件应急结束宣布格式内容</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_Toc17720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62</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32"/>
            <w:tabs>
              <w:tab w:val="right" w:leader="dot" w:pos="8306"/>
            </w:tabs>
            <w:spacing w:line="240" w:lineRule="auto"/>
            <w:rPr>
              <w:rFonts w:ascii="Times New Roman" w:hAnsi="Times New Roman" w:eastAsia="宋体"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"_Toc5421" </w:instrText>
          </w:r>
          <w:r>
            <w:rPr>
              <w:color w:val="000000" w:themeColor="text1"/>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附件</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w:t>
          </w:r>
          <w:r>
            <w:rPr>
              <w:rFonts w:ascii="Times New Roman" w:hAnsi="Times New Roman" w:eastAsia="宋体" w:cs="Times New Roman"/>
              <w:color w:val="000000" w:themeColor="text1"/>
              <w:sz w:val="24"/>
              <w:szCs w:val="24"/>
              <w14:textFill>
                <w14:solidFill>
                  <w14:schemeClr w14:val="tx1"/>
                </w14:solidFill>
              </w14:textFill>
            </w:rPr>
            <w:t>：城厢区集中式地表水饮用水水源地突发环境事件相关应急部门及单位联系方式</w:t>
          </w:r>
          <w:r>
            <w:rPr>
              <w:rFonts w:ascii="Times New Roman" w:hAnsi="Times New Roman" w:eastAsia="宋体" w:cs="Times New Roman"/>
              <w:color w:val="000000" w:themeColor="text1"/>
              <w:sz w:val="24"/>
              <w:szCs w:val="24"/>
              <w14:textFill>
                <w14:solidFill>
                  <w14:schemeClr w14:val="tx1"/>
                </w14:solidFill>
              </w14:textFill>
            </w:rPr>
            <w:tab/>
          </w:r>
          <w:r>
            <w:rPr>
              <w:rFonts w:ascii="Times New Roman" w:hAnsi="Times New Roman" w:eastAsia="宋体" w:cs="Times New Roman"/>
              <w:color w:val="000000" w:themeColor="text1"/>
              <w:sz w:val="24"/>
              <w:szCs w:val="24"/>
              <w14:textFill>
                <w14:solidFill>
                  <w14:schemeClr w14:val="tx1"/>
                </w14:solidFill>
              </w14:textFill>
            </w:rPr>
            <w:fldChar w:fldCharType="begin"/>
          </w:r>
          <w:r>
            <w:rPr>
              <w:rFonts w:ascii="Times New Roman" w:hAnsi="Times New Roman" w:eastAsia="宋体" w:cs="Times New Roman"/>
              <w:color w:val="000000" w:themeColor="text1"/>
              <w:sz w:val="24"/>
              <w:szCs w:val="24"/>
              <w14:textFill>
                <w14:solidFill>
                  <w14:schemeClr w14:val="tx1"/>
                </w14:solidFill>
              </w14:textFill>
            </w:rPr>
            <w:instrText xml:space="preserve"> PAGEREF _Toc5421 </w:instrText>
          </w:r>
          <w:r>
            <w:rPr>
              <w:rFonts w:ascii="Times New Roman" w:hAnsi="Times New Roman" w:eastAsia="宋体" w:cs="Times New Roman"/>
              <w:color w:val="000000" w:themeColor="text1"/>
              <w:sz w:val="24"/>
              <w:szCs w:val="24"/>
              <w14:textFill>
                <w14:solidFill>
                  <w14:schemeClr w14:val="tx1"/>
                </w14:solidFill>
              </w14:textFill>
            </w:rPr>
            <w:fldChar w:fldCharType="separate"/>
          </w:r>
          <w:r>
            <w:rPr>
              <w:rFonts w:ascii="Times New Roman" w:hAnsi="Times New Roman" w:eastAsia="宋体" w:cs="Times New Roman"/>
              <w:color w:val="000000" w:themeColor="text1"/>
              <w:sz w:val="24"/>
              <w:szCs w:val="24"/>
              <w14:textFill>
                <w14:solidFill>
                  <w14:schemeClr w14:val="tx1"/>
                </w14:solidFill>
              </w14:textFill>
            </w:rPr>
            <w:t>63</w:t>
          </w:r>
          <w:r>
            <w:rPr>
              <w:rFonts w:ascii="Times New Roman" w:hAnsi="Times New Roman" w:eastAsia="宋体" w:cs="Times New Roman"/>
              <w:color w:val="000000" w:themeColor="text1"/>
              <w:sz w:val="24"/>
              <w:szCs w:val="24"/>
              <w14:textFill>
                <w14:solidFill>
                  <w14:schemeClr w14:val="tx1"/>
                </w14:solidFill>
              </w14:textFill>
            </w:rPr>
            <w:fldChar w:fldCharType="end"/>
          </w:r>
          <w:r>
            <w:rPr>
              <w:rFonts w:ascii="Times New Roman" w:hAnsi="Times New Roman" w:eastAsia="宋体" w:cs="Times New Roman"/>
              <w:color w:val="000000" w:themeColor="text1"/>
              <w:sz w:val="24"/>
              <w:szCs w:val="24"/>
              <w14:textFill>
                <w14:solidFill>
                  <w14:schemeClr w14:val="tx1"/>
                </w14:solidFill>
              </w14:textFill>
            </w:rPr>
            <w:fldChar w:fldCharType="end"/>
          </w:r>
        </w:p>
        <w:p>
          <w:pPr>
            <w:pStyle w:val="170"/>
            <w:tabs>
              <w:tab w:val="right" w:leader="dot" w:pos="8306"/>
            </w:tabs>
            <w:spacing w:line="360" w:lineRule="auto"/>
            <w:rPr>
              <w:color w:val="000000" w:themeColor="text1"/>
              <w14:textFill>
                <w14:solidFill>
                  <w14:schemeClr w14:val="tx1"/>
                </w14:solidFill>
              </w14:textFill>
            </w:rPr>
          </w:pPr>
          <w:r>
            <w:rPr>
              <w:color w:val="000000" w:themeColor="text1"/>
              <w:sz w:val="24"/>
              <w:szCs w:val="24"/>
              <w14:textFill>
                <w14:solidFill>
                  <w14:schemeClr w14:val="tx1"/>
                </w14:solidFill>
              </w14:textFill>
            </w:rPr>
            <w:fldChar w:fldCharType="end"/>
          </w:r>
        </w:p>
      </w:sdtContent>
    </w:sdt>
    <w:p>
      <w:pPr>
        <w:adjustRightInd w:val="0"/>
        <w:snapToGrid w:val="0"/>
        <w:outlineLvl w:val="0"/>
        <w:rPr>
          <w:bCs/>
          <w:color w:val="000000" w:themeColor="text1"/>
          <w:sz w:val="32"/>
          <w:szCs w:val="32"/>
          <w14:textFill>
            <w14:solidFill>
              <w14:schemeClr w14:val="tx1"/>
            </w14:solidFill>
          </w14:textFill>
        </w:rPr>
        <w:sectPr>
          <w:footerReference r:id="rId3" w:type="default"/>
          <w:pgSz w:w="11906" w:h="16838"/>
          <w:pgMar w:top="1440" w:right="1800" w:bottom="1440" w:left="1800" w:header="851" w:footer="454" w:gutter="0"/>
          <w:pgNumType w:start="1"/>
          <w:cols w:space="720" w:num="1"/>
          <w:docGrid w:type="lines" w:linePitch="381" w:charSpace="0"/>
        </w:sectPr>
      </w:pPr>
    </w:p>
    <w:p>
      <w:pPr>
        <w:adjustRightInd w:val="0"/>
        <w:snapToGrid w:val="0"/>
        <w:spacing w:line="324" w:lineRule="auto"/>
        <w:outlineLvl w:val="0"/>
        <w:rPr>
          <w:rFonts w:eastAsia="黑体"/>
          <w:bCs/>
          <w:color w:val="000000" w:themeColor="text1"/>
          <w:sz w:val="32"/>
          <w:szCs w:val="32"/>
          <w14:textFill>
            <w14:solidFill>
              <w14:schemeClr w14:val="tx1"/>
            </w14:solidFill>
          </w14:textFill>
        </w:rPr>
      </w:pPr>
      <w:bookmarkStart w:id="56" w:name="_Toc26657"/>
      <w:r>
        <w:rPr>
          <w:rFonts w:hint="eastAsia" w:eastAsia="黑体"/>
          <w:bCs/>
          <w:color w:val="000000" w:themeColor="text1"/>
          <w:sz w:val="32"/>
          <w:szCs w:val="32"/>
          <w14:textFill>
            <w14:solidFill>
              <w14:schemeClr w14:val="tx1"/>
            </w14:solidFill>
          </w14:textFill>
        </w:rPr>
        <w:t>1总则</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6"/>
    </w:p>
    <w:p>
      <w:pPr>
        <w:adjustRightInd w:val="0"/>
        <w:snapToGrid w:val="0"/>
        <w:spacing w:line="324" w:lineRule="auto"/>
        <w:ind w:right="480"/>
        <w:outlineLvl w:val="1"/>
        <w:rPr>
          <w:rFonts w:ascii="Calibri" w:hAnsi="Calibri" w:eastAsia="仿宋"/>
          <w:b/>
          <w:color w:val="000000" w:themeColor="text1"/>
          <w:sz w:val="32"/>
          <w:szCs w:val="32"/>
          <w14:textFill>
            <w14:solidFill>
              <w14:schemeClr w14:val="tx1"/>
            </w14:solidFill>
          </w14:textFill>
        </w:rPr>
      </w:pPr>
      <w:bookmarkStart w:id="57" w:name="_Toc529453253"/>
      <w:bookmarkStart w:id="58" w:name="_Toc28424_WPSOffice_Level1"/>
      <w:bookmarkStart w:id="59" w:name="_Toc523223341"/>
      <w:bookmarkStart w:id="60" w:name="_Toc1055"/>
      <w:bookmarkStart w:id="61" w:name="_Toc527026528"/>
      <w:bookmarkStart w:id="62" w:name="_Toc523223881"/>
      <w:bookmarkStart w:id="63" w:name="_Toc528234235"/>
      <w:bookmarkStart w:id="64" w:name="_Toc1356"/>
      <w:bookmarkStart w:id="65" w:name="_Toc523219293"/>
      <w:bookmarkStart w:id="66" w:name="_Toc523153499"/>
      <w:bookmarkStart w:id="67" w:name="_Toc2445"/>
      <w:bookmarkStart w:id="68" w:name="_Toc523220068"/>
      <w:bookmarkStart w:id="69" w:name="_Toc522893224"/>
      <w:bookmarkStart w:id="70" w:name="_Toc523219582"/>
      <w:bookmarkStart w:id="71" w:name="_Toc529453099"/>
      <w:bookmarkStart w:id="72" w:name="_Toc30566"/>
      <w:r>
        <w:rPr>
          <w:rFonts w:hint="eastAsia" w:ascii="Calibri" w:hAnsi="Calibri" w:eastAsia="仿宋"/>
          <w:b/>
          <w:color w:val="000000" w:themeColor="text1"/>
          <w:sz w:val="32"/>
          <w:szCs w:val="32"/>
          <w14:textFill>
            <w14:solidFill>
              <w14:schemeClr w14:val="tx1"/>
            </w14:solidFill>
          </w14:textFill>
        </w:rPr>
        <w:t>1.1编制目的</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为确保城市供水安全，有效应对城厢区集中式地表水饮用水水源地（以下简称水源地）突发环境事件，快速、有序、高效地排除污染物，最大程度降低突发环境事件对水源地水质影响，及时控制和消除突发环境事件造成的供水短缺和危害，指导水源地突发环境事件规范应对的各项工作，维护社会稳定和保障经济发展，根据国家、地方相关法律法规，结合城厢区水源地实际情况，特制定本预案。</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73" w:name="_Toc527026529"/>
      <w:bookmarkStart w:id="74" w:name="_Toc9968"/>
      <w:bookmarkStart w:id="75" w:name="_Toc523223342"/>
      <w:bookmarkStart w:id="76" w:name="_Toc523153500"/>
      <w:bookmarkStart w:id="77" w:name="_Toc529453100"/>
      <w:bookmarkStart w:id="78" w:name="_Toc523220069"/>
      <w:bookmarkStart w:id="79" w:name="_Toc1333_WPSOffice_Level1"/>
      <w:bookmarkStart w:id="80" w:name="_Toc523223882"/>
      <w:bookmarkStart w:id="81" w:name="_Toc523219294"/>
      <w:bookmarkStart w:id="82" w:name="_Toc523219583"/>
      <w:bookmarkStart w:id="83" w:name="_Toc1106"/>
      <w:bookmarkStart w:id="84" w:name="_Toc8227"/>
      <w:bookmarkStart w:id="85" w:name="_Toc528234236"/>
      <w:bookmarkStart w:id="86" w:name="_Toc529453254"/>
      <w:bookmarkStart w:id="87" w:name="_Toc486519935"/>
      <w:bookmarkStart w:id="88" w:name="_Toc11549"/>
      <w:bookmarkStart w:id="89" w:name="_Toc522893225"/>
      <w:r>
        <w:rPr>
          <w:rFonts w:hint="eastAsia" w:eastAsia="仿宋"/>
          <w:b/>
          <w:color w:val="000000" w:themeColor="text1"/>
          <w:sz w:val="32"/>
          <w:szCs w:val="32"/>
          <w14:textFill>
            <w14:solidFill>
              <w14:schemeClr w14:val="tx1"/>
            </w14:solidFill>
          </w14:textFill>
        </w:rPr>
        <w:t>1.2编制依据</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pPr>
        <w:widowControl/>
        <w:adjustRightInd w:val="0"/>
        <w:snapToGrid w:val="0"/>
        <w:spacing w:line="324" w:lineRule="auto"/>
        <w:jc w:val="left"/>
        <w:outlineLvl w:val="3"/>
        <w:rPr>
          <w:rFonts w:ascii="Calibri" w:hAnsi="Calibri" w:eastAsia="仿宋"/>
          <w:b/>
          <w:color w:val="000000" w:themeColor="text1"/>
          <w:sz w:val="32"/>
          <w:szCs w:val="32"/>
          <w14:textFill>
            <w14:solidFill>
              <w14:schemeClr w14:val="tx1"/>
            </w14:solidFill>
          </w14:textFill>
        </w:rPr>
      </w:pPr>
      <w:bookmarkStart w:id="90" w:name="_Toc523220070"/>
      <w:bookmarkStart w:id="91" w:name="_Toc518463455"/>
      <w:bookmarkStart w:id="92" w:name="_Toc527026530"/>
      <w:bookmarkStart w:id="93" w:name="_Toc8919"/>
      <w:bookmarkStart w:id="94" w:name="_Toc523153501"/>
      <w:r>
        <w:rPr>
          <w:rFonts w:hint="eastAsia" w:ascii="Calibri" w:hAnsi="Calibri" w:eastAsia="仿宋"/>
          <w:b/>
          <w:color w:val="000000" w:themeColor="text1"/>
          <w:sz w:val="32"/>
          <w:szCs w:val="32"/>
          <w14:textFill>
            <w14:solidFill>
              <w14:schemeClr w14:val="tx1"/>
            </w14:solidFill>
          </w14:textFill>
        </w:rPr>
        <w:t>1.2.1法律、法规和规章</w:t>
      </w:r>
      <w:bookmarkEnd w:id="90"/>
      <w:bookmarkEnd w:id="91"/>
      <w:bookmarkEnd w:id="92"/>
      <w:bookmarkEnd w:id="93"/>
      <w:bookmarkEnd w:id="94"/>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（1）《中华人民共和国环境保护法》2015年1月1日起施行；</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（2）《中华人民共和国突发事件应对法》2007年11月1日起施行；</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（3）《中华人民共和国水法》2016年10月1日起施行；</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（4）《中华人民共和国水污染防治法》2018年1月1日起施行；</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（5）《危险化学品安全管理条例》（国务院令第591号）；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（6）《饮用水水源保护区污染防治管理规定》（环境保护部令第16号，2010年12月22日修订）；</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（7）《突发环境事件信息报告办法》（环境保护部令第17号）；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（8）《突发环境事件调查处理办法》（环境保护部令第32号）；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（9）《突发环境事件应急管理办法》（环境保护部令第34号）；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（10）《城市供水水质管理规定》（建设部令第156号）；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（11）《生活饮用水卫生监督管理办法》（住房城乡建设部、国家卫生计生委令第31号）；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（12）《莆田市东圳库区水环境保护条例》。</w:t>
      </w:r>
    </w:p>
    <w:p>
      <w:pPr>
        <w:widowControl/>
        <w:adjustRightInd w:val="0"/>
        <w:snapToGrid w:val="0"/>
        <w:spacing w:line="324" w:lineRule="auto"/>
        <w:jc w:val="left"/>
        <w:outlineLvl w:val="3"/>
        <w:rPr>
          <w:rFonts w:eastAsia="仿宋"/>
          <w:b/>
          <w:color w:val="000000" w:themeColor="text1"/>
          <w:sz w:val="32"/>
          <w:szCs w:val="32"/>
          <w14:textFill>
            <w14:solidFill>
              <w14:schemeClr w14:val="tx1"/>
            </w14:solidFill>
          </w14:textFill>
        </w:rPr>
      </w:pPr>
      <w:bookmarkStart w:id="95" w:name="_Toc527026531"/>
      <w:bookmarkStart w:id="96" w:name="_Toc518463456"/>
      <w:bookmarkStart w:id="97" w:name="_Toc523220071"/>
      <w:bookmarkStart w:id="98" w:name="_Toc30699"/>
      <w:bookmarkStart w:id="99" w:name="_Toc523153502"/>
      <w:r>
        <w:rPr>
          <w:rFonts w:hint="eastAsia" w:eastAsia="仿宋"/>
          <w:b/>
          <w:color w:val="000000" w:themeColor="text1"/>
          <w:sz w:val="32"/>
          <w:szCs w:val="32"/>
          <w14:textFill>
            <w14:solidFill>
              <w14:schemeClr w14:val="tx1"/>
            </w14:solidFill>
          </w14:textFill>
        </w:rPr>
        <w:t>1.2.2 有关预案、标准规范和规范性文件</w:t>
      </w:r>
      <w:bookmarkEnd w:id="95"/>
      <w:bookmarkEnd w:id="96"/>
      <w:bookmarkEnd w:id="97"/>
      <w:bookmarkEnd w:id="98"/>
      <w:bookmarkEnd w:id="99"/>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（1）《国家突发环境事件应急预案》（国办函[2014]119号）；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（2）《地表水环境质量标准》（GB3838）；</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（3）《突发环境事件应急监测技术规范》（HJ589）；</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（4）《集中式饮用水水源地规范化建设环境保护技术要求》（HJ773）；</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（5）《集中式饮用水水源地环境保护状况评估技术规范》（HJ774）；</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（6）《企业突发环境事件风险分级方法》（HJ941-2018）；</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（7）《突发环境事件应急预案管理暂行办法》（环发〔2010〕113号）；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（8）《集中式地表饮用水水源地环境应急管理工作指南》（环办〔2011〕93号）；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（9）《集中式饮用水水源环境保护指南（试行）》（环办〔2012〕50号）；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（10）《企业突发环境事件风险评估指南（试行）》（环办〔2014〕34号）；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（11）《突发环境事件应急处置阶段污染损害评估工作程序规定》（环发〔2013〕85号）；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（12）《企业事业单位突发环境事件应急预案备案管理办法（试行）》（环发〔2015〕4号）；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（13）《行政区域突发环境事件风险评估推荐方法》（环办应急〔2018〕9号）；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（14）《集中式地表水饮用水水源地突发环境事件应急预案编制指南》（试行）（生态环境部公告 2018年第1号）；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（15）《福建省城市供水系统重大事故应急预案》；</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（16）《福建省人民政府办公厅关于建立突发事件信息速报机制的通知》（闽政办[2013]80号）；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（17）《福建省人民政府关于莆田市东圳水库等四个饮用水水源保护区调整方案及金钟水库等两个饮用水水源保护区划定方案的批复》（闽政文[2012]137号）；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（18）《福建省人民政府关于城厢区华亭镇等19个乡镇生活饮用水地表水源保护区划定方案的批复》（闽政文[2007]243号）；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w:t>
      </w:r>
      <w:r>
        <w:rPr>
          <w:rFonts w:hint="eastAsia" w:eastAsia="仿宋"/>
          <w:color w:val="000000" w:themeColor="text1"/>
          <w:kern w:val="0"/>
          <w:sz w:val="32"/>
          <w:szCs w:val="32"/>
          <w:lang w:val="en-US" w:eastAsia="zh-CN"/>
          <w14:textFill>
            <w14:solidFill>
              <w14:schemeClr w14:val="tx1"/>
            </w14:solidFill>
          </w14:textFill>
        </w:rPr>
        <w:t>19</w:t>
      </w:r>
      <w:r>
        <w:rPr>
          <w:rFonts w:hint="eastAsia" w:eastAsia="仿宋"/>
          <w:color w:val="000000" w:themeColor="text1"/>
          <w:kern w:val="0"/>
          <w:sz w:val="32"/>
          <w:szCs w:val="32"/>
          <w14:textFill>
            <w14:solidFill>
              <w14:schemeClr w14:val="tx1"/>
            </w14:solidFill>
          </w14:textFill>
        </w:rPr>
        <w:t>）《莆田市突发环境事件应急预案》；</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w:t>
      </w:r>
      <w:r>
        <w:rPr>
          <w:rFonts w:hint="eastAsia" w:eastAsia="仿宋"/>
          <w:color w:val="000000" w:themeColor="text1"/>
          <w:kern w:val="0"/>
          <w:sz w:val="32"/>
          <w:szCs w:val="32"/>
          <w:lang w:val="en-US" w:eastAsia="zh-CN"/>
          <w14:textFill>
            <w14:solidFill>
              <w14:schemeClr w14:val="tx1"/>
            </w14:solidFill>
          </w14:textFill>
        </w:rPr>
        <w:t>0</w:t>
      </w:r>
      <w:r>
        <w:rPr>
          <w:rFonts w:hint="eastAsia" w:eastAsia="仿宋"/>
          <w:color w:val="000000" w:themeColor="text1"/>
          <w:kern w:val="0"/>
          <w:sz w:val="32"/>
          <w:szCs w:val="32"/>
          <w14:textFill>
            <w14:solidFill>
              <w14:schemeClr w14:val="tx1"/>
            </w14:solidFill>
          </w14:textFill>
        </w:rPr>
        <w:t>）莆田市人民政府办公室关于印发莆田市城市饮用水源突发环境污染事件应急处置工作预案的通知 （莆政办〔2008〕106号）；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w:t>
      </w:r>
      <w:r>
        <w:rPr>
          <w:rFonts w:hint="eastAsia" w:eastAsia="仿宋"/>
          <w:color w:val="000000" w:themeColor="text1"/>
          <w:kern w:val="0"/>
          <w:sz w:val="32"/>
          <w:szCs w:val="32"/>
          <w:lang w:val="en-US" w:eastAsia="zh-CN"/>
          <w14:textFill>
            <w14:solidFill>
              <w14:schemeClr w14:val="tx1"/>
            </w14:solidFill>
          </w14:textFill>
        </w:rPr>
        <w:t>1</w:t>
      </w:r>
      <w:r>
        <w:rPr>
          <w:rFonts w:hint="eastAsia" w:eastAsia="仿宋"/>
          <w:color w:val="000000" w:themeColor="text1"/>
          <w:kern w:val="0"/>
          <w:sz w:val="32"/>
          <w:szCs w:val="32"/>
          <w14:textFill>
            <w14:solidFill>
              <w14:schemeClr w14:val="tx1"/>
            </w14:solidFill>
          </w14:textFill>
        </w:rPr>
        <w:t>）《莆田市环境保护局突发环境事件应急预案》（2017年修订本）；</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w:t>
      </w:r>
      <w:r>
        <w:rPr>
          <w:rFonts w:hint="eastAsia" w:eastAsia="仿宋"/>
          <w:color w:val="000000" w:themeColor="text1"/>
          <w:kern w:val="0"/>
          <w:sz w:val="32"/>
          <w:szCs w:val="32"/>
          <w:lang w:val="en-US" w:eastAsia="zh-CN"/>
          <w14:textFill>
            <w14:solidFill>
              <w14:schemeClr w14:val="tx1"/>
            </w14:solidFill>
          </w14:textFill>
        </w:rPr>
        <w:t>2</w:t>
      </w:r>
      <w:r>
        <w:rPr>
          <w:rFonts w:hint="eastAsia" w:eastAsia="仿宋"/>
          <w:color w:val="000000" w:themeColor="text1"/>
          <w:kern w:val="0"/>
          <w:sz w:val="32"/>
          <w:szCs w:val="32"/>
          <w14:textFill>
            <w14:solidFill>
              <w14:schemeClr w14:val="tx1"/>
            </w14:solidFill>
          </w14:textFill>
        </w:rPr>
        <w:t>）《莆田市环境监测中心站突发环境事件应急监预案》(莆环站〔2013〕45号)；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w:t>
      </w:r>
      <w:r>
        <w:rPr>
          <w:rFonts w:hint="eastAsia" w:eastAsia="仿宋"/>
          <w:color w:val="000000" w:themeColor="text1"/>
          <w:kern w:val="0"/>
          <w:sz w:val="32"/>
          <w:szCs w:val="32"/>
          <w:lang w:val="en-US" w:eastAsia="zh-CN"/>
          <w14:textFill>
            <w14:solidFill>
              <w14:schemeClr w14:val="tx1"/>
            </w14:solidFill>
          </w14:textFill>
        </w:rPr>
        <w:t>3</w:t>
      </w:r>
      <w:r>
        <w:rPr>
          <w:rFonts w:hint="eastAsia" w:eastAsia="仿宋"/>
          <w:color w:val="000000" w:themeColor="text1"/>
          <w:kern w:val="0"/>
          <w:sz w:val="32"/>
          <w:szCs w:val="32"/>
          <w14:textFill>
            <w14:solidFill>
              <w14:schemeClr w14:val="tx1"/>
            </w14:solidFill>
          </w14:textFill>
        </w:rPr>
        <w:t>）《莆田市城厢区人民政府关于印发莆田市城厢区突发环境事件应急预案的通知》（莆城政〔2017〕266号）；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w:t>
      </w:r>
      <w:r>
        <w:rPr>
          <w:rFonts w:hint="eastAsia" w:eastAsia="仿宋"/>
          <w:color w:val="000000" w:themeColor="text1"/>
          <w:kern w:val="0"/>
          <w:sz w:val="32"/>
          <w:szCs w:val="32"/>
          <w:lang w:val="en-US" w:eastAsia="zh-CN"/>
          <w14:textFill>
            <w14:solidFill>
              <w14:schemeClr w14:val="tx1"/>
            </w14:solidFill>
          </w14:textFill>
        </w:rPr>
        <w:t>4</w:t>
      </w:r>
      <w:r>
        <w:rPr>
          <w:rFonts w:hint="eastAsia" w:eastAsia="仿宋"/>
          <w:color w:val="000000" w:themeColor="text1"/>
          <w:kern w:val="0"/>
          <w:sz w:val="32"/>
          <w:szCs w:val="32"/>
          <w14:textFill>
            <w14:solidFill>
              <w14:schemeClr w14:val="tx1"/>
            </w14:solidFill>
          </w14:textFill>
        </w:rPr>
        <w:t>）《莆田市城厢区生态环境局突发环境事件应急预案》（2017版）；</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w:t>
      </w:r>
      <w:r>
        <w:rPr>
          <w:rFonts w:hint="eastAsia" w:eastAsia="仿宋"/>
          <w:color w:val="000000" w:themeColor="text1"/>
          <w:kern w:val="0"/>
          <w:sz w:val="32"/>
          <w:szCs w:val="32"/>
          <w:lang w:val="en-US" w:eastAsia="zh-CN"/>
          <w14:textFill>
            <w14:solidFill>
              <w14:schemeClr w14:val="tx1"/>
            </w14:solidFill>
          </w14:textFill>
        </w:rPr>
        <w:t>5</w:t>
      </w:r>
      <w:r>
        <w:rPr>
          <w:rFonts w:hint="eastAsia" w:eastAsia="仿宋"/>
          <w:color w:val="000000" w:themeColor="text1"/>
          <w:kern w:val="0"/>
          <w:sz w:val="32"/>
          <w:szCs w:val="32"/>
          <w14:textFill>
            <w14:solidFill>
              <w14:schemeClr w14:val="tx1"/>
            </w14:solidFill>
          </w14:textFill>
        </w:rPr>
        <w:t>）《东圳水库突发环境事件应急预案》；</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100" w:name="_Toc528234237"/>
      <w:bookmarkStart w:id="101" w:name="_Toc11830"/>
      <w:bookmarkStart w:id="102" w:name="_Toc31367"/>
      <w:bookmarkStart w:id="103" w:name="_Toc523219584"/>
      <w:bookmarkStart w:id="104" w:name="_Toc1318"/>
      <w:bookmarkStart w:id="105" w:name="_Toc523219295"/>
      <w:bookmarkStart w:id="106" w:name="_Toc486519936"/>
      <w:bookmarkStart w:id="107" w:name="_Toc16810_WPSOffice_Level1"/>
      <w:bookmarkStart w:id="108" w:name="_Toc523223883"/>
      <w:bookmarkStart w:id="109" w:name="_Toc523153503"/>
      <w:bookmarkStart w:id="110" w:name="_Toc523220072"/>
      <w:bookmarkStart w:id="111" w:name="_Toc23232"/>
      <w:bookmarkStart w:id="112" w:name="_Toc527026532"/>
      <w:bookmarkStart w:id="113" w:name="_Toc529453101"/>
      <w:bookmarkStart w:id="114" w:name="_Toc523223343"/>
      <w:bookmarkStart w:id="115" w:name="_Toc522893226"/>
      <w:bookmarkStart w:id="116" w:name="_Toc529453255"/>
      <w:r>
        <w:rPr>
          <w:rFonts w:hint="eastAsia" w:eastAsia="仿宋"/>
          <w:b/>
          <w:color w:val="000000" w:themeColor="text1"/>
          <w:sz w:val="32"/>
          <w:szCs w:val="32"/>
          <w14:textFill>
            <w14:solidFill>
              <w14:schemeClr w14:val="tx1"/>
            </w14:solidFill>
          </w14:textFill>
        </w:rPr>
        <w:t>1.3适用范围</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本预案适用的地域范围（即启动水源地应急预案范围）包括城厢区行政区域内水源地一、二级保护区内的地表水域和陆域。城厢区行政区域内水源地包括（东圳水库、径里水库、桂山水库、朝阳水库、红旗水库、院里水库、海头水库）。</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117" w:name="_Toc529453102"/>
      <w:bookmarkStart w:id="118" w:name="_Toc527026533"/>
      <w:bookmarkStart w:id="119" w:name="_Toc522893227"/>
      <w:bookmarkStart w:id="120" w:name="_Toc523219585"/>
      <w:bookmarkStart w:id="121" w:name="_Toc523219296"/>
      <w:bookmarkStart w:id="122" w:name="_Toc9426"/>
      <w:bookmarkStart w:id="123" w:name="_Toc523220073"/>
      <w:bookmarkStart w:id="124" w:name="_Toc12879_WPSOffice_Level1"/>
      <w:bookmarkStart w:id="125" w:name="_Toc523223884"/>
      <w:bookmarkStart w:id="126" w:name="_Toc1071"/>
      <w:bookmarkStart w:id="127" w:name="_Toc17657"/>
      <w:bookmarkStart w:id="128" w:name="_Toc523153504"/>
      <w:bookmarkStart w:id="129" w:name="_Toc4067"/>
      <w:bookmarkStart w:id="130" w:name="_Toc529453256"/>
      <w:bookmarkStart w:id="131" w:name="_Toc523223344"/>
      <w:bookmarkStart w:id="132" w:name="_Toc528234238"/>
      <w:bookmarkStart w:id="133" w:name="_Toc486519937"/>
      <w:r>
        <w:rPr>
          <w:rFonts w:hint="eastAsia" w:eastAsia="仿宋"/>
          <w:b/>
          <w:color w:val="000000" w:themeColor="text1"/>
          <w:sz w:val="32"/>
          <w:szCs w:val="32"/>
          <w14:textFill>
            <w14:solidFill>
              <w14:schemeClr w14:val="tx1"/>
            </w14:solidFill>
          </w14:textFill>
        </w:rPr>
        <w:t>1.4预案衔接</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城厢区水源地突发环境事件应急预案体系由市级、区级和企事业单位水源地突发环境事件应急预案三大类组成。</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（1）市级水源地突发环境事件应急预案</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市级水源地突发环境事件应急预案体系包括《莆田市突发环境事件应急预案》《莆田市集中式饮用水水源保护区突发环境事件应急预案》和部门应急预案等。其中，《莆田市突发环境事件应急预案》是全市预防和处置突发环境事件的指导性文件，《东圳水库突发环境事件应急预案》、《莆田市集中式饮用水水源保护区突发环境事件应急预案》是《莆田市突发环境事件应急预案》中有关水源地突发环境事件的专项应急预案。</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（2）区级水源地突发环境事件应急预案</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城厢区集中式饮用水水源地突发环境事件应急预案》是城厢区各水源地预防和处置突发环境事件的指导性文件，是《莆田市城厢区突发环境事件应急预案》中有关水源地突发环境事件的专项应急预案的一项专项应急预案。区级应急预案体系应包括《莆田市城厢区突发环境事件应急预案》、《城厢区集中式饮用水水源地突发环境事件应急预案》、《桂山水库饮用水水源地突发环境事件应急预案》、《院里水库饮用水水源地突发环境事件应急预案》、《径里水库饮用水水源地突发环境事件应急预案》、《朝阳水库饮用水水源地突发环境事件应急预案》、《红旗水库饮用水水源地突发环境事件应急预案》、《海头水库饮用水水源地突发环境事件应急预案》及部门环境突发环境事件应急预案等。</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（3）水源地管理单位突发环境事件应急预案</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水源地管理单位突发环境事件应急预案是各管理单位根据有关法律法规和规章，结合本单位实际制定的应急预案，主要有《东圳水库突发环境事件应急预案》、《桂山水库饮用水水源地突发环境事件应急预案》、《院里水库饮用水水源地突发环境事件应急预案》、《径里水库饮用水水源地突发环境事件应急预案》、《朝阳水库饮用水水源地突发环境事件应急预案》、《红旗水库饮用水水源地突发环境事件应急预案》、《海头水库饮用水水源地突发环境事件应急预案》等。</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突发环境事件应急预案制定单位应当根据实际需要，制定预案简明操作手册或行动指南，增强预案的实用性、可操作性和便携性；应当依托各级应急平台，建立应急预案数据库，提高应急预案管理的信息化水平。</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各事发地镇政府可参照本预案编制乡镇水源地突发环境事件应急预案。</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突发事件发生后，首先启动所在行政区域的事发地镇政府或部门突发环境事件应急预案，一旦污染物迁移到水源地应急预案适用的地域范围，则适用并启动水源地应急预案。各饮用水源管理单位和水源地地域范围内有关单位应针对突发环境事件发生、发展及污染物迁移的全过程，为主或配合做好污染物拦截、信息收集研判、事件预警和应急响应等工作。</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134" w:name="_Toc529453103"/>
      <w:bookmarkStart w:id="135" w:name="_Toc522893228"/>
      <w:bookmarkStart w:id="136" w:name="_Toc528234239"/>
      <w:bookmarkStart w:id="137" w:name="_Toc11338"/>
      <w:bookmarkStart w:id="138" w:name="_Toc523219586"/>
      <w:bookmarkStart w:id="139" w:name="_Toc523223885"/>
      <w:bookmarkStart w:id="140" w:name="_Toc523223345"/>
      <w:bookmarkStart w:id="141" w:name="_Toc523153505"/>
      <w:bookmarkStart w:id="142" w:name="_Toc21327"/>
      <w:bookmarkStart w:id="143" w:name="_Toc771"/>
      <w:bookmarkStart w:id="144" w:name="_Toc529453257"/>
      <w:bookmarkStart w:id="145" w:name="_Toc10247_WPSOffice_Level1"/>
      <w:bookmarkStart w:id="146" w:name="_Toc523219297"/>
      <w:bookmarkStart w:id="147" w:name="_Toc527026534"/>
      <w:bookmarkStart w:id="148" w:name="_Toc2814"/>
      <w:bookmarkStart w:id="149" w:name="_Toc523220074"/>
      <w:r>
        <w:rPr>
          <w:rFonts w:hint="eastAsia" w:eastAsia="仿宋"/>
          <w:b/>
          <w:color w:val="000000" w:themeColor="text1"/>
          <w:sz w:val="32"/>
          <w:szCs w:val="32"/>
          <w14:textFill>
            <w14:solidFill>
              <w14:schemeClr w14:val="tx1"/>
            </w14:solidFill>
          </w14:textFill>
        </w:rPr>
        <w:t>1.5工作原则</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widowControl/>
        <w:adjustRightInd w:val="0"/>
        <w:snapToGrid w:val="0"/>
        <w:spacing w:line="324" w:lineRule="auto"/>
        <w:jc w:val="left"/>
        <w:outlineLvl w:val="3"/>
        <w:rPr>
          <w:rFonts w:eastAsia="仿宋"/>
          <w:b/>
          <w:color w:val="000000" w:themeColor="text1"/>
          <w:sz w:val="32"/>
          <w:szCs w:val="32"/>
          <w14:textFill>
            <w14:solidFill>
              <w14:schemeClr w14:val="tx1"/>
            </w14:solidFill>
          </w14:textFill>
        </w:rPr>
      </w:pPr>
      <w:bookmarkStart w:id="150" w:name="_Toc486519940"/>
      <w:bookmarkStart w:id="151" w:name="_Toc522893230"/>
      <w:bookmarkStart w:id="152" w:name="_Toc527026538"/>
      <w:bookmarkStart w:id="153" w:name="_Toc29864"/>
      <w:bookmarkStart w:id="154" w:name="_Toc529453105"/>
      <w:bookmarkStart w:id="155" w:name="_Toc523219588"/>
      <w:bookmarkStart w:id="156" w:name="_Toc523219299"/>
      <w:bookmarkStart w:id="157" w:name="_Toc4482"/>
      <w:bookmarkStart w:id="158" w:name="_Toc523223347"/>
      <w:bookmarkStart w:id="159" w:name="_Toc528234241"/>
      <w:bookmarkStart w:id="160" w:name="_Toc523153509"/>
      <w:bookmarkStart w:id="161" w:name="_Toc529453259"/>
      <w:bookmarkStart w:id="162" w:name="_Toc523223887"/>
      <w:bookmarkStart w:id="163" w:name="_Toc13562"/>
      <w:bookmarkStart w:id="164" w:name="_Toc523220078"/>
      <w:r>
        <w:rPr>
          <w:rFonts w:eastAsia="仿宋"/>
          <w:b/>
          <w:color w:val="000000" w:themeColor="text1"/>
          <w:sz w:val="32"/>
          <w:szCs w:val="32"/>
          <w14:textFill>
            <w14:solidFill>
              <w14:schemeClr w14:val="tx1"/>
            </w14:solidFill>
          </w14:textFill>
        </w:rPr>
        <w:t>1.5.1统一领导，分工负责、协调联动。</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eastAsia="仿宋"/>
          <w:color w:val="000000" w:themeColor="text1"/>
          <w:kern w:val="0"/>
          <w:sz w:val="32"/>
          <w:szCs w:val="32"/>
          <w14:textFill>
            <w14:solidFill>
              <w14:schemeClr w14:val="tx1"/>
            </w14:solidFill>
          </w14:textFill>
        </w:rPr>
        <w:t>在</w:t>
      </w:r>
      <w:r>
        <w:rPr>
          <w:rFonts w:hint="eastAsia" w:eastAsia="仿宋"/>
          <w:color w:val="000000" w:themeColor="text1"/>
          <w:kern w:val="0"/>
          <w:sz w:val="32"/>
          <w:szCs w:val="32"/>
          <w14:textFill>
            <w14:solidFill>
              <w14:schemeClr w14:val="tx1"/>
            </w14:solidFill>
          </w14:textFill>
        </w:rPr>
        <w:t>区饮用水源地应急指挥部</w:t>
      </w:r>
      <w:r>
        <w:rPr>
          <w:rFonts w:eastAsia="仿宋"/>
          <w:color w:val="000000" w:themeColor="text1"/>
          <w:kern w:val="0"/>
          <w:sz w:val="32"/>
          <w:szCs w:val="32"/>
          <w14:textFill>
            <w14:solidFill>
              <w14:schemeClr w14:val="tx1"/>
            </w14:solidFill>
          </w14:textFill>
        </w:rPr>
        <w:t>统一领导下，各相关</w:t>
      </w:r>
      <w:r>
        <w:rPr>
          <w:rFonts w:hint="eastAsia" w:eastAsia="仿宋"/>
          <w:color w:val="000000" w:themeColor="text1"/>
          <w:kern w:val="0"/>
          <w:sz w:val="32"/>
          <w:szCs w:val="32"/>
          <w14:textFill>
            <w14:solidFill>
              <w14:schemeClr w14:val="tx1"/>
            </w14:solidFill>
          </w14:textFill>
        </w:rPr>
        <w:t>部门</w:t>
      </w:r>
      <w:r>
        <w:rPr>
          <w:rFonts w:eastAsia="仿宋"/>
          <w:color w:val="000000" w:themeColor="text1"/>
          <w:kern w:val="0"/>
          <w:sz w:val="32"/>
          <w:szCs w:val="32"/>
          <w14:textFill>
            <w14:solidFill>
              <w14:schemeClr w14:val="tx1"/>
            </w14:solidFill>
          </w14:textFill>
        </w:rPr>
        <w:t>明确职责分</w:t>
      </w:r>
      <w:r>
        <w:rPr>
          <w:rFonts w:hint="eastAsia" w:eastAsia="仿宋"/>
          <w:color w:val="000000" w:themeColor="text1"/>
          <w:kern w:val="0"/>
          <w:sz w:val="32"/>
          <w:szCs w:val="32"/>
          <w14:textFill>
            <w14:solidFill>
              <w14:schemeClr w14:val="tx1"/>
            </w14:solidFill>
          </w14:textFill>
        </w:rPr>
        <w:t>工</w:t>
      </w:r>
      <w:r>
        <w:rPr>
          <w:rFonts w:eastAsia="仿宋"/>
          <w:color w:val="000000" w:themeColor="text1"/>
          <w:kern w:val="0"/>
          <w:sz w:val="32"/>
          <w:szCs w:val="32"/>
          <w14:textFill>
            <w14:solidFill>
              <w14:schemeClr w14:val="tx1"/>
            </w14:solidFill>
          </w14:textFill>
        </w:rPr>
        <w:t>负责，协调</w:t>
      </w:r>
      <w:r>
        <w:rPr>
          <w:rFonts w:hint="eastAsia" w:eastAsia="仿宋"/>
          <w:color w:val="000000" w:themeColor="text1"/>
          <w:kern w:val="0"/>
          <w:sz w:val="32"/>
          <w:szCs w:val="32"/>
          <w14:textFill>
            <w14:solidFill>
              <w14:schemeClr w14:val="tx1"/>
            </w14:solidFill>
          </w14:textFill>
        </w:rPr>
        <w:t>联动</w:t>
      </w:r>
      <w:r>
        <w:rPr>
          <w:rFonts w:eastAsia="仿宋"/>
          <w:color w:val="000000" w:themeColor="text1"/>
          <w:kern w:val="0"/>
          <w:sz w:val="32"/>
          <w:szCs w:val="32"/>
          <w14:textFill>
            <w14:solidFill>
              <w14:schemeClr w14:val="tx1"/>
            </w14:solidFill>
          </w14:textFill>
        </w:rPr>
        <w:t>，密切配合、形成合力，协调推进，确保应急处置工作高效、有序运转，建立和完善相关部门的联动机制，充分发挥部门专业优势和专业应急力量作用，在发生突发环境事件时能及时响应，共同应对；加强各相关部门和</w:t>
      </w:r>
      <w:r>
        <w:rPr>
          <w:rFonts w:hint="eastAsia" w:eastAsia="仿宋"/>
          <w:color w:val="000000" w:themeColor="text1"/>
          <w:kern w:val="0"/>
          <w:sz w:val="32"/>
          <w:szCs w:val="32"/>
          <w14:textFill>
            <w14:solidFill>
              <w14:schemeClr w14:val="tx1"/>
            </w14:solidFill>
          </w14:textFill>
        </w:rPr>
        <w:t>事发地镇政府</w:t>
      </w:r>
      <w:r>
        <w:rPr>
          <w:rFonts w:eastAsia="仿宋"/>
          <w:color w:val="000000" w:themeColor="text1"/>
          <w:kern w:val="0"/>
          <w:sz w:val="32"/>
          <w:szCs w:val="32"/>
          <w14:textFill>
            <w14:solidFill>
              <w14:schemeClr w14:val="tx1"/>
            </w14:solidFill>
          </w14:textFill>
        </w:rPr>
        <w:t>的协作配合，建立区域间的应急动员机制，充实应急队伍，提高应急</w:t>
      </w:r>
      <w:r>
        <w:rPr>
          <w:rFonts w:hint="eastAsia" w:eastAsia="仿宋"/>
          <w:color w:val="000000" w:themeColor="text1"/>
          <w:kern w:val="0"/>
          <w:sz w:val="32"/>
          <w:szCs w:val="32"/>
          <w14:textFill>
            <w14:solidFill>
              <w14:schemeClr w14:val="tx1"/>
            </w14:solidFill>
          </w14:textFill>
        </w:rPr>
        <w:t>反</w:t>
      </w:r>
      <w:r>
        <w:rPr>
          <w:rFonts w:eastAsia="仿宋"/>
          <w:color w:val="000000" w:themeColor="text1"/>
          <w:kern w:val="0"/>
          <w:sz w:val="32"/>
          <w:szCs w:val="32"/>
          <w14:textFill>
            <w14:solidFill>
              <w14:schemeClr w14:val="tx1"/>
            </w14:solidFill>
          </w14:textFill>
        </w:rPr>
        <w:t>应能力。</w:t>
      </w:r>
    </w:p>
    <w:p>
      <w:pPr>
        <w:widowControl/>
        <w:adjustRightInd w:val="0"/>
        <w:snapToGrid w:val="0"/>
        <w:spacing w:line="324" w:lineRule="auto"/>
        <w:jc w:val="left"/>
        <w:outlineLvl w:val="3"/>
        <w:rPr>
          <w:rFonts w:eastAsia="仿宋"/>
          <w:b/>
          <w:color w:val="000000" w:themeColor="text1"/>
          <w:sz w:val="32"/>
          <w:szCs w:val="32"/>
          <w14:textFill>
            <w14:solidFill>
              <w14:schemeClr w14:val="tx1"/>
            </w14:solidFill>
          </w14:textFill>
        </w:rPr>
      </w:pPr>
      <w:r>
        <w:rPr>
          <w:rFonts w:eastAsia="仿宋"/>
          <w:b/>
          <w:color w:val="000000" w:themeColor="text1"/>
          <w:sz w:val="32"/>
          <w:szCs w:val="32"/>
          <w14:textFill>
            <w14:solidFill>
              <w14:schemeClr w14:val="tx1"/>
            </w14:solidFill>
          </w14:textFill>
        </w:rPr>
        <w:t>1.5.2快速反应，科学处置、资源共享、保障有力。</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eastAsia="仿宋"/>
          <w:color w:val="000000" w:themeColor="text1"/>
          <w:kern w:val="0"/>
          <w:sz w:val="32"/>
          <w:szCs w:val="32"/>
          <w14:textFill>
            <w14:solidFill>
              <w14:schemeClr w14:val="tx1"/>
            </w14:solidFill>
          </w14:textFill>
        </w:rPr>
        <w:t>充分发挥专家队伍及专业处置工作组的作用，加强信息分析研判，采取科学、有效的技术手段进行应急处置。第一时间掌握突发环境事件应急处置技能，全面提高快速反应能力。现场应急指挥部应进行先期处置，控制事态，减轻危害，并将处置情况及时报告应急指挥部；建立各组之间的信息收集与信息共享机制，建立城厢区集中式饮用水源地应急物资储备库，实现资源共享，强化应急后勤保障，合理调配应急物资和应急装备，落实通讯与信息、应急队伍、应急经费、应急资源、备用水源等应急保障，增强应对突发环境事件的应急处理能力。</w:t>
      </w:r>
    </w:p>
    <w:p>
      <w:pPr>
        <w:adjustRightInd w:val="0"/>
        <w:snapToGrid w:val="0"/>
        <w:spacing w:line="324" w:lineRule="auto"/>
        <w:outlineLvl w:val="0"/>
        <w:rPr>
          <w:rFonts w:ascii="Calibri" w:hAnsi="Calibri" w:eastAsia="黑体"/>
          <w:bCs/>
          <w:color w:val="000000" w:themeColor="text1"/>
          <w:sz w:val="32"/>
          <w:szCs w:val="32"/>
          <w14:textFill>
            <w14:solidFill>
              <w14:schemeClr w14:val="tx1"/>
            </w14:solidFill>
          </w14:textFill>
        </w:rPr>
      </w:pPr>
      <w:bookmarkStart w:id="165" w:name="_Toc13565"/>
      <w:r>
        <w:rPr>
          <w:rFonts w:hint="eastAsia" w:ascii="Calibri" w:hAnsi="Calibri" w:eastAsia="黑体"/>
          <w:bCs/>
          <w:color w:val="000000" w:themeColor="text1"/>
          <w:sz w:val="32"/>
          <w:szCs w:val="32"/>
          <w14:textFill>
            <w14:solidFill>
              <w14:schemeClr w14:val="tx1"/>
            </w14:solidFill>
          </w14:textFill>
        </w:rPr>
        <w:t>2应急组织</w:t>
      </w:r>
      <w:bookmarkEnd w:id="150"/>
      <w:r>
        <w:rPr>
          <w:rFonts w:hint="eastAsia" w:ascii="Calibri" w:hAnsi="Calibri" w:eastAsia="黑体"/>
          <w:bCs/>
          <w:color w:val="000000" w:themeColor="text1"/>
          <w:sz w:val="32"/>
          <w:szCs w:val="32"/>
          <w14:textFill>
            <w14:solidFill>
              <w14:schemeClr w14:val="tx1"/>
            </w14:solidFill>
          </w14:textFill>
        </w:rPr>
        <w:t>指挥体系</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bookmarkStart w:id="166" w:name="_Toc486519941"/>
      <w:bookmarkStart w:id="167" w:name="_Toc523220079"/>
      <w:bookmarkStart w:id="168" w:name="_Toc529453106"/>
      <w:bookmarkStart w:id="169" w:name="_Toc527026539"/>
      <w:bookmarkStart w:id="170" w:name="_Toc523223348"/>
      <w:bookmarkStart w:id="171" w:name="_Toc529453260"/>
      <w:bookmarkStart w:id="172" w:name="_Toc523153510"/>
      <w:bookmarkStart w:id="173" w:name="_Toc523223888"/>
      <w:bookmarkStart w:id="174" w:name="_Toc522893231"/>
      <w:bookmarkStart w:id="175" w:name="_Toc523219589"/>
      <w:bookmarkStart w:id="176" w:name="_Toc528234242"/>
      <w:bookmarkStart w:id="177" w:name="_Toc24831"/>
      <w:bookmarkStart w:id="178" w:name="_Toc523219300"/>
      <w:bookmarkStart w:id="179" w:name="_Toc13552"/>
      <w:r>
        <w:rPr>
          <w:rFonts w:eastAsia="仿宋"/>
          <w:color w:val="000000" w:themeColor="text1"/>
          <w:kern w:val="0"/>
          <w:sz w:val="32"/>
          <w:szCs w:val="32"/>
          <w14:textFill>
            <w14:solidFill>
              <w14:schemeClr w14:val="tx1"/>
            </w14:solidFill>
          </w14:textFill>
        </w:rPr>
        <w:t>城厢区集中式饮用水源地突发环境事件应急处置组织体系由城厢区集中式饮用水源地突发环境事件应急</w:t>
      </w:r>
      <w:r>
        <w:rPr>
          <w:rFonts w:hint="eastAsia" w:eastAsia="仿宋"/>
          <w:color w:val="000000" w:themeColor="text1"/>
          <w:kern w:val="0"/>
          <w:sz w:val="32"/>
          <w:szCs w:val="32"/>
          <w14:textFill>
            <w14:solidFill>
              <w14:schemeClr w14:val="tx1"/>
            </w14:solidFill>
          </w14:textFill>
        </w:rPr>
        <w:t>指挥部</w:t>
      </w:r>
      <w:r>
        <w:rPr>
          <w:rFonts w:eastAsia="仿宋"/>
          <w:color w:val="000000" w:themeColor="text1"/>
          <w:kern w:val="0"/>
          <w:sz w:val="32"/>
          <w:szCs w:val="32"/>
          <w14:textFill>
            <w14:solidFill>
              <w14:schemeClr w14:val="tx1"/>
            </w14:solidFill>
          </w14:textFill>
        </w:rPr>
        <w:t>（简称“</w:t>
      </w:r>
      <w:r>
        <w:rPr>
          <w:rFonts w:hint="eastAsia" w:eastAsia="仿宋"/>
          <w:color w:val="000000" w:themeColor="text1"/>
          <w:kern w:val="0"/>
          <w:sz w:val="32"/>
          <w:szCs w:val="32"/>
          <w14:textFill>
            <w14:solidFill>
              <w14:schemeClr w14:val="tx1"/>
            </w14:solidFill>
          </w14:textFill>
        </w:rPr>
        <w:t>区饮用水源地应急指挥部</w:t>
      </w:r>
      <w:r>
        <w:rPr>
          <w:rFonts w:eastAsia="仿宋"/>
          <w:color w:val="000000" w:themeColor="text1"/>
          <w:kern w:val="0"/>
          <w:sz w:val="32"/>
          <w:szCs w:val="32"/>
          <w14:textFill>
            <w14:solidFill>
              <w14:schemeClr w14:val="tx1"/>
            </w14:solidFill>
          </w14:textFill>
        </w:rPr>
        <w:t>”）、集中式饮用水源地突发环境事件应急办公室</w:t>
      </w:r>
      <w:r>
        <w:rPr>
          <w:rFonts w:hint="eastAsia" w:eastAsia="仿宋"/>
          <w:color w:val="000000" w:themeColor="text1"/>
          <w:kern w:val="0"/>
          <w:sz w:val="32"/>
          <w:szCs w:val="32"/>
          <w14:textFill>
            <w14:solidFill>
              <w14:schemeClr w14:val="tx1"/>
            </w14:solidFill>
          </w14:textFill>
        </w:rPr>
        <w:t>（以下简称为区饮用水源地应急办）、</w:t>
      </w:r>
      <w:r>
        <w:rPr>
          <w:rFonts w:eastAsia="仿宋"/>
          <w:color w:val="000000" w:themeColor="text1"/>
          <w:kern w:val="0"/>
          <w:sz w:val="32"/>
          <w:szCs w:val="32"/>
          <w14:textFill>
            <w14:solidFill>
              <w14:schemeClr w14:val="tx1"/>
            </w14:solidFill>
          </w14:textFill>
        </w:rPr>
        <w:t>现场应急救援指挥部构成。现场应急救援指挥部由领导机构、工作机构、</w:t>
      </w:r>
      <w:r>
        <w:rPr>
          <w:rFonts w:hint="eastAsia" w:eastAsia="仿宋"/>
          <w:color w:val="000000" w:themeColor="text1"/>
          <w:kern w:val="0"/>
          <w:sz w:val="32"/>
          <w:szCs w:val="32"/>
          <w14:textFill>
            <w14:solidFill>
              <w14:schemeClr w14:val="tx1"/>
            </w14:solidFill>
          </w14:textFill>
        </w:rPr>
        <w:t>事发地镇政府</w:t>
      </w:r>
      <w:r>
        <w:rPr>
          <w:rFonts w:eastAsia="仿宋"/>
          <w:color w:val="000000" w:themeColor="text1"/>
          <w:kern w:val="0"/>
          <w:sz w:val="32"/>
          <w:szCs w:val="32"/>
          <w14:textFill>
            <w14:solidFill>
              <w14:schemeClr w14:val="tx1"/>
            </w14:solidFill>
          </w14:textFill>
        </w:rPr>
        <w:t>、环境应急专家组、污染事故发生单位等组成并形成应急联动体系。各饮用水源地管理单位成立应急</w:t>
      </w:r>
      <w:r>
        <w:rPr>
          <w:rFonts w:hint="eastAsia" w:eastAsia="仿宋"/>
          <w:color w:val="000000" w:themeColor="text1"/>
          <w:kern w:val="0"/>
          <w:sz w:val="32"/>
          <w:szCs w:val="32"/>
          <w14:textFill>
            <w14:solidFill>
              <w14:schemeClr w14:val="tx1"/>
            </w14:solidFill>
          </w14:textFill>
        </w:rPr>
        <w:t>指挥部</w:t>
      </w:r>
      <w:r>
        <w:rPr>
          <w:rFonts w:eastAsia="仿宋"/>
          <w:color w:val="000000" w:themeColor="text1"/>
          <w:kern w:val="0"/>
          <w:sz w:val="32"/>
          <w:szCs w:val="32"/>
          <w14:textFill>
            <w14:solidFill>
              <w14:schemeClr w14:val="tx1"/>
            </w14:solidFill>
          </w14:textFill>
        </w:rPr>
        <w:t>，并受区饮用水源地环境应急</w:t>
      </w:r>
      <w:r>
        <w:rPr>
          <w:rFonts w:hint="eastAsia" w:eastAsia="仿宋"/>
          <w:color w:val="000000" w:themeColor="text1"/>
          <w:kern w:val="0"/>
          <w:sz w:val="32"/>
          <w:szCs w:val="32"/>
          <w14:textFill>
            <w14:solidFill>
              <w14:schemeClr w14:val="tx1"/>
            </w14:solidFill>
          </w14:textFill>
        </w:rPr>
        <w:t>指挥部</w:t>
      </w:r>
      <w:r>
        <w:rPr>
          <w:rFonts w:eastAsia="仿宋"/>
          <w:color w:val="000000" w:themeColor="text1"/>
          <w:kern w:val="0"/>
          <w:sz w:val="32"/>
          <w:szCs w:val="32"/>
          <w14:textFill>
            <w14:solidFill>
              <w14:schemeClr w14:val="tx1"/>
            </w14:solidFill>
          </w14:textFill>
        </w:rPr>
        <w:t>统一领导。</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eastAsia="仿宋"/>
          <w:color w:val="000000" w:themeColor="text1"/>
          <w:kern w:val="0"/>
          <w:sz w:val="32"/>
          <w:szCs w:val="32"/>
          <w14:textFill>
            <w14:solidFill>
              <w14:schemeClr w14:val="tx1"/>
            </w14:solidFill>
          </w14:textFill>
        </w:rPr>
        <w:t>城厢区集中式饮用水源地突发环境事件的应急处置工作受区环境应急</w:t>
      </w:r>
      <w:r>
        <w:rPr>
          <w:rFonts w:hint="eastAsia" w:eastAsia="仿宋"/>
          <w:color w:val="000000" w:themeColor="text1"/>
          <w:kern w:val="0"/>
          <w:sz w:val="32"/>
          <w:szCs w:val="32"/>
          <w14:textFill>
            <w14:solidFill>
              <w14:schemeClr w14:val="tx1"/>
            </w14:solidFill>
          </w14:textFill>
        </w:rPr>
        <w:t>指挥部</w:t>
      </w:r>
      <w:r>
        <w:rPr>
          <w:rFonts w:eastAsia="仿宋"/>
          <w:color w:val="000000" w:themeColor="text1"/>
          <w:kern w:val="0"/>
          <w:sz w:val="32"/>
          <w:szCs w:val="32"/>
          <w14:textFill>
            <w14:solidFill>
              <w14:schemeClr w14:val="tx1"/>
            </w14:solidFill>
          </w14:textFill>
        </w:rPr>
        <w:t>统一领导。区直有关部门按照各自职责做好集中式饮用水源地突发环境事件应急保障工作。</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180" w:name="_Toc6889"/>
      <w:bookmarkStart w:id="181" w:name="_Toc15977"/>
      <w:r>
        <w:rPr>
          <w:rFonts w:hint="eastAsia" w:eastAsia="仿宋"/>
          <w:b/>
          <w:color w:val="000000" w:themeColor="text1"/>
          <w:sz w:val="32"/>
          <w:szCs w:val="32"/>
          <w14:textFill>
            <w14:solidFill>
              <w14:schemeClr w14:val="tx1"/>
            </w14:solidFill>
          </w14:textFill>
        </w:rPr>
        <w:t>2.1应急组织指挥</w:t>
      </w:r>
      <w:bookmarkEnd w:id="166"/>
      <w:r>
        <w:rPr>
          <w:rFonts w:hint="eastAsia" w:eastAsia="仿宋"/>
          <w:b/>
          <w:color w:val="000000" w:themeColor="text1"/>
          <w:sz w:val="32"/>
          <w:szCs w:val="32"/>
          <w14:textFill>
            <w14:solidFill>
              <w14:schemeClr w14:val="tx1"/>
            </w14:solidFill>
          </w14:textFill>
        </w:rPr>
        <w:t>机构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区饮用水源地应急指挥部</w:t>
      </w:r>
      <w:r>
        <w:rPr>
          <w:rFonts w:eastAsia="仿宋"/>
          <w:color w:val="000000" w:themeColor="text1"/>
          <w:kern w:val="0"/>
          <w:sz w:val="32"/>
          <w:szCs w:val="32"/>
          <w14:textFill>
            <w14:solidFill>
              <w14:schemeClr w14:val="tx1"/>
            </w14:solidFill>
          </w14:textFill>
        </w:rPr>
        <w:t>作为城厢区集中式饮用水源地突发环境事件的指挥和协调机构。区政府分管环保副区长任</w:t>
      </w:r>
      <w:r>
        <w:rPr>
          <w:rFonts w:hint="eastAsia" w:eastAsia="仿宋"/>
          <w:color w:val="000000" w:themeColor="text1"/>
          <w:kern w:val="0"/>
          <w:sz w:val="32"/>
          <w:szCs w:val="32"/>
          <w14:textFill>
            <w14:solidFill>
              <w14:schemeClr w14:val="tx1"/>
            </w14:solidFill>
          </w14:textFill>
        </w:rPr>
        <w:t>总指挥</w:t>
      </w:r>
      <w:r>
        <w:rPr>
          <w:rFonts w:eastAsia="仿宋"/>
          <w:color w:val="000000" w:themeColor="text1"/>
          <w:kern w:val="0"/>
          <w:sz w:val="32"/>
          <w:szCs w:val="32"/>
          <w14:textFill>
            <w14:solidFill>
              <w14:schemeClr w14:val="tx1"/>
            </w14:solidFill>
          </w14:textFill>
        </w:rPr>
        <w:t>，</w:t>
      </w:r>
      <w:r>
        <w:rPr>
          <w:rFonts w:hint="eastAsia" w:eastAsia="仿宋"/>
          <w:color w:val="000000" w:themeColor="text1"/>
          <w:kern w:val="0"/>
          <w:sz w:val="32"/>
          <w:szCs w:val="32"/>
          <w14:textFill>
            <w14:solidFill>
              <w14:schemeClr w14:val="tx1"/>
            </w14:solidFill>
          </w14:textFill>
        </w:rPr>
        <w:t>区生态环境局</w:t>
      </w:r>
      <w:r>
        <w:rPr>
          <w:rFonts w:eastAsia="仿宋"/>
          <w:color w:val="000000" w:themeColor="text1"/>
          <w:kern w:val="0"/>
          <w:sz w:val="32"/>
          <w:szCs w:val="32"/>
          <w14:textFill>
            <w14:solidFill>
              <w14:schemeClr w14:val="tx1"/>
            </w14:solidFill>
          </w14:textFill>
        </w:rPr>
        <w:t>局长、</w:t>
      </w:r>
      <w:r>
        <w:rPr>
          <w:rFonts w:hint="eastAsia" w:eastAsia="仿宋"/>
          <w:color w:val="000000" w:themeColor="text1"/>
          <w:kern w:val="0"/>
          <w:sz w:val="32"/>
          <w:szCs w:val="32"/>
          <w14:textFill>
            <w14:solidFill>
              <w14:schemeClr w14:val="tx1"/>
            </w14:solidFill>
          </w14:textFill>
        </w:rPr>
        <w:t>区水利局</w:t>
      </w:r>
      <w:r>
        <w:rPr>
          <w:rFonts w:eastAsia="仿宋"/>
          <w:color w:val="000000" w:themeColor="text1"/>
          <w:kern w:val="0"/>
          <w:sz w:val="32"/>
          <w:szCs w:val="32"/>
          <w14:textFill>
            <w14:solidFill>
              <w14:schemeClr w14:val="tx1"/>
            </w14:solidFill>
          </w14:textFill>
        </w:rPr>
        <w:t>局长及</w:t>
      </w:r>
      <w:r>
        <w:rPr>
          <w:rFonts w:hint="eastAsia" w:eastAsia="仿宋"/>
          <w:color w:val="000000" w:themeColor="text1"/>
          <w:kern w:val="0"/>
          <w:sz w:val="32"/>
          <w:szCs w:val="32"/>
          <w14:textFill>
            <w14:solidFill>
              <w14:schemeClr w14:val="tx1"/>
            </w14:solidFill>
          </w14:textFill>
        </w:rPr>
        <w:t>区府办副主任</w:t>
      </w:r>
      <w:r>
        <w:rPr>
          <w:rFonts w:eastAsia="仿宋"/>
          <w:color w:val="000000" w:themeColor="text1"/>
          <w:kern w:val="0"/>
          <w:sz w:val="32"/>
          <w:szCs w:val="32"/>
          <w14:textFill>
            <w14:solidFill>
              <w14:schemeClr w14:val="tx1"/>
            </w14:solidFill>
          </w14:textFill>
        </w:rPr>
        <w:t>任副</w:t>
      </w:r>
      <w:r>
        <w:rPr>
          <w:rFonts w:hint="eastAsia" w:eastAsia="仿宋"/>
          <w:color w:val="000000" w:themeColor="text1"/>
          <w:kern w:val="0"/>
          <w:sz w:val="32"/>
          <w:szCs w:val="32"/>
          <w14:textFill>
            <w14:solidFill>
              <w14:schemeClr w14:val="tx1"/>
            </w14:solidFill>
          </w14:textFill>
        </w:rPr>
        <w:t>总指挥</w:t>
      </w:r>
      <w:r>
        <w:rPr>
          <w:rFonts w:eastAsia="仿宋"/>
          <w:color w:val="000000" w:themeColor="text1"/>
          <w:kern w:val="0"/>
          <w:sz w:val="32"/>
          <w:szCs w:val="32"/>
          <w14:textFill>
            <w14:solidFill>
              <w14:schemeClr w14:val="tx1"/>
            </w14:solidFill>
          </w14:textFill>
        </w:rPr>
        <w:t>。</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eastAsia="仿宋"/>
          <w:color w:val="000000" w:themeColor="text1"/>
          <w:kern w:val="0"/>
          <w:sz w:val="32"/>
          <w:szCs w:val="32"/>
          <w14:textFill>
            <w14:solidFill>
              <w14:schemeClr w14:val="tx1"/>
            </w14:solidFill>
          </w14:textFill>
        </w:rPr>
        <w:t>成员：区府办、</w:t>
      </w:r>
      <w:r>
        <w:rPr>
          <w:rFonts w:hint="eastAsia" w:eastAsia="仿宋"/>
          <w:color w:val="000000" w:themeColor="text1"/>
          <w:kern w:val="0"/>
          <w:sz w:val="32"/>
          <w:szCs w:val="32"/>
          <w14:textFill>
            <w14:solidFill>
              <w14:schemeClr w14:val="tx1"/>
            </w14:solidFill>
          </w14:textFill>
        </w:rPr>
        <w:t>区委宣传部、区生态环境局、区水利局</w:t>
      </w:r>
      <w:r>
        <w:rPr>
          <w:rFonts w:eastAsia="仿宋"/>
          <w:color w:val="000000" w:themeColor="text1"/>
          <w:kern w:val="0"/>
          <w:sz w:val="32"/>
          <w:szCs w:val="32"/>
          <w14:textFill>
            <w14:solidFill>
              <w14:schemeClr w14:val="tx1"/>
            </w14:solidFill>
          </w14:textFill>
        </w:rPr>
        <w:t>、</w:t>
      </w:r>
      <w:r>
        <w:rPr>
          <w:rFonts w:hint="eastAsia" w:eastAsia="仿宋"/>
          <w:color w:val="000000" w:themeColor="text1"/>
          <w:kern w:val="0"/>
          <w:sz w:val="32"/>
          <w:szCs w:val="32"/>
          <w14:textFill>
            <w14:solidFill>
              <w14:schemeClr w14:val="tx1"/>
            </w14:solidFill>
          </w14:textFill>
        </w:rPr>
        <w:t>区</w:t>
      </w:r>
      <w:r>
        <w:rPr>
          <w:rFonts w:eastAsia="仿宋"/>
          <w:color w:val="000000" w:themeColor="text1"/>
          <w:kern w:val="0"/>
          <w:sz w:val="32"/>
          <w:szCs w:val="32"/>
          <w14:textFill>
            <w14:solidFill>
              <w14:schemeClr w14:val="tx1"/>
            </w14:solidFill>
          </w14:textFill>
        </w:rPr>
        <w:t>交通运输局、</w:t>
      </w:r>
      <w:r>
        <w:rPr>
          <w:rFonts w:hint="eastAsia" w:eastAsia="仿宋"/>
          <w:color w:val="000000" w:themeColor="text1"/>
          <w:kern w:val="0"/>
          <w:sz w:val="32"/>
          <w:szCs w:val="32"/>
          <w14:textFill>
            <w14:solidFill>
              <w14:schemeClr w14:val="tx1"/>
            </w14:solidFill>
          </w14:textFill>
        </w:rPr>
        <w:t>区应急管理局</w:t>
      </w:r>
      <w:r>
        <w:rPr>
          <w:rFonts w:eastAsia="仿宋"/>
          <w:color w:val="000000" w:themeColor="text1"/>
          <w:kern w:val="0"/>
          <w:sz w:val="32"/>
          <w:szCs w:val="32"/>
          <w14:textFill>
            <w14:solidFill>
              <w14:schemeClr w14:val="tx1"/>
            </w14:solidFill>
          </w14:textFill>
        </w:rPr>
        <w:t>、</w:t>
      </w:r>
      <w:r>
        <w:rPr>
          <w:rFonts w:hint="eastAsia" w:eastAsia="仿宋"/>
          <w:color w:val="000000" w:themeColor="text1"/>
          <w:kern w:val="0"/>
          <w:sz w:val="32"/>
          <w:szCs w:val="32"/>
          <w:lang w:val="en-US" w:eastAsia="zh-CN"/>
          <w14:textFill>
            <w14:solidFill>
              <w14:schemeClr w14:val="tx1"/>
            </w14:solidFill>
          </w14:textFill>
        </w:rPr>
        <w:t>区消防大队、</w:t>
      </w:r>
      <w:r>
        <w:rPr>
          <w:rFonts w:hint="eastAsia" w:eastAsia="仿宋"/>
          <w:color w:val="000000" w:themeColor="text1"/>
          <w:kern w:val="0"/>
          <w:sz w:val="32"/>
          <w:szCs w:val="32"/>
          <w14:textFill>
            <w14:solidFill>
              <w14:schemeClr w14:val="tx1"/>
            </w14:solidFill>
          </w14:textFill>
        </w:rPr>
        <w:t>区</w:t>
      </w:r>
      <w:r>
        <w:rPr>
          <w:rFonts w:eastAsia="仿宋"/>
          <w:color w:val="000000" w:themeColor="text1"/>
          <w:kern w:val="0"/>
          <w:sz w:val="32"/>
          <w:szCs w:val="32"/>
          <w14:textFill>
            <w14:solidFill>
              <w14:schemeClr w14:val="tx1"/>
            </w14:solidFill>
          </w14:textFill>
        </w:rPr>
        <w:t>公安分局、</w:t>
      </w:r>
      <w:r>
        <w:rPr>
          <w:rFonts w:hint="eastAsia" w:eastAsia="仿宋"/>
          <w:color w:val="000000" w:themeColor="text1"/>
          <w:kern w:val="0"/>
          <w:sz w:val="32"/>
          <w:szCs w:val="32"/>
          <w14:textFill>
            <w14:solidFill>
              <w14:schemeClr w14:val="tx1"/>
            </w14:solidFill>
          </w14:textFill>
        </w:rPr>
        <w:t>区住房和城乡建设局</w:t>
      </w:r>
      <w:r>
        <w:rPr>
          <w:rFonts w:eastAsia="仿宋"/>
          <w:color w:val="000000" w:themeColor="text1"/>
          <w:kern w:val="0"/>
          <w:sz w:val="32"/>
          <w:szCs w:val="32"/>
          <w14:textFill>
            <w14:solidFill>
              <w14:schemeClr w14:val="tx1"/>
            </w14:solidFill>
          </w14:textFill>
        </w:rPr>
        <w:t>、</w:t>
      </w:r>
      <w:r>
        <w:rPr>
          <w:rFonts w:hint="eastAsia" w:eastAsia="仿宋"/>
          <w:color w:val="000000" w:themeColor="text1"/>
          <w:kern w:val="0"/>
          <w:sz w:val="32"/>
          <w:szCs w:val="32"/>
          <w14:textFill>
            <w14:solidFill>
              <w14:schemeClr w14:val="tx1"/>
            </w14:solidFill>
          </w14:textFill>
        </w:rPr>
        <w:t>区</w:t>
      </w:r>
      <w:r>
        <w:rPr>
          <w:rFonts w:eastAsia="仿宋"/>
          <w:color w:val="000000" w:themeColor="text1"/>
          <w:kern w:val="0"/>
          <w:sz w:val="32"/>
          <w:szCs w:val="32"/>
          <w14:textFill>
            <w14:solidFill>
              <w14:schemeClr w14:val="tx1"/>
            </w14:solidFill>
          </w14:textFill>
        </w:rPr>
        <w:t>环卫处、</w:t>
      </w:r>
      <w:r>
        <w:rPr>
          <w:rFonts w:hint="eastAsia" w:eastAsia="仿宋"/>
          <w:color w:val="000000" w:themeColor="text1"/>
          <w:kern w:val="0"/>
          <w:sz w:val="32"/>
          <w:szCs w:val="32"/>
          <w14:textFill>
            <w14:solidFill>
              <w14:schemeClr w14:val="tx1"/>
            </w14:solidFill>
          </w14:textFill>
        </w:rPr>
        <w:t>区农业农村局</w:t>
      </w:r>
      <w:r>
        <w:rPr>
          <w:rFonts w:eastAsia="仿宋"/>
          <w:color w:val="000000" w:themeColor="text1"/>
          <w:kern w:val="0"/>
          <w:sz w:val="32"/>
          <w:szCs w:val="32"/>
          <w14:textFill>
            <w14:solidFill>
              <w14:schemeClr w14:val="tx1"/>
            </w14:solidFill>
          </w14:textFill>
        </w:rPr>
        <w:t>、</w:t>
      </w:r>
      <w:r>
        <w:rPr>
          <w:rFonts w:hint="eastAsia" w:eastAsia="仿宋"/>
          <w:color w:val="000000" w:themeColor="text1"/>
          <w:kern w:val="0"/>
          <w:sz w:val="32"/>
          <w:szCs w:val="32"/>
          <w14:textFill>
            <w14:solidFill>
              <w14:schemeClr w14:val="tx1"/>
            </w14:solidFill>
          </w14:textFill>
        </w:rPr>
        <w:t>区</w:t>
      </w:r>
      <w:r>
        <w:rPr>
          <w:rFonts w:eastAsia="仿宋"/>
          <w:color w:val="000000" w:themeColor="text1"/>
          <w:kern w:val="0"/>
          <w:sz w:val="32"/>
          <w:szCs w:val="32"/>
          <w14:textFill>
            <w14:solidFill>
              <w14:schemeClr w14:val="tx1"/>
            </w14:solidFill>
          </w14:textFill>
        </w:rPr>
        <w:t>财政局、</w:t>
      </w:r>
      <w:r>
        <w:rPr>
          <w:rFonts w:hint="eastAsia" w:eastAsia="仿宋"/>
          <w:color w:val="000000" w:themeColor="text1"/>
          <w:kern w:val="0"/>
          <w:sz w:val="32"/>
          <w:szCs w:val="32"/>
          <w14:textFill>
            <w14:solidFill>
              <w14:schemeClr w14:val="tx1"/>
            </w14:solidFill>
          </w14:textFill>
        </w:rPr>
        <w:t>区卫生健康局</w:t>
      </w:r>
      <w:r>
        <w:rPr>
          <w:rFonts w:eastAsia="仿宋"/>
          <w:color w:val="000000" w:themeColor="text1"/>
          <w:kern w:val="0"/>
          <w:sz w:val="32"/>
          <w:szCs w:val="32"/>
          <w14:textFill>
            <w14:solidFill>
              <w14:schemeClr w14:val="tx1"/>
            </w14:solidFill>
          </w14:textFill>
        </w:rPr>
        <w:t>、</w:t>
      </w:r>
      <w:r>
        <w:rPr>
          <w:rFonts w:hint="eastAsia" w:eastAsia="仿宋"/>
          <w:color w:val="000000" w:themeColor="text1"/>
          <w:kern w:val="0"/>
          <w:sz w:val="32"/>
          <w:szCs w:val="32"/>
          <w14:textFill>
            <w14:solidFill>
              <w14:schemeClr w14:val="tx1"/>
            </w14:solidFill>
          </w14:textFill>
        </w:rPr>
        <w:t>区</w:t>
      </w:r>
      <w:r>
        <w:rPr>
          <w:rFonts w:eastAsia="仿宋"/>
          <w:color w:val="000000" w:themeColor="text1"/>
          <w:kern w:val="0"/>
          <w:sz w:val="32"/>
          <w:szCs w:val="32"/>
          <w14:textFill>
            <w14:solidFill>
              <w14:schemeClr w14:val="tx1"/>
            </w14:solidFill>
          </w14:textFill>
        </w:rPr>
        <w:t>气象局、</w:t>
      </w:r>
      <w:r>
        <w:rPr>
          <w:rFonts w:hint="eastAsia" w:eastAsia="仿宋"/>
          <w:color w:val="000000" w:themeColor="text1"/>
          <w:kern w:val="0"/>
          <w:sz w:val="32"/>
          <w:szCs w:val="32"/>
          <w14:textFill>
            <w14:solidFill>
              <w14:schemeClr w14:val="tx1"/>
            </w14:solidFill>
          </w14:textFill>
        </w:rPr>
        <w:t>区</w:t>
      </w:r>
      <w:r>
        <w:rPr>
          <w:rFonts w:eastAsia="仿宋"/>
          <w:color w:val="000000" w:themeColor="text1"/>
          <w:kern w:val="0"/>
          <w:sz w:val="32"/>
          <w:szCs w:val="32"/>
          <w14:textFill>
            <w14:solidFill>
              <w14:schemeClr w14:val="tx1"/>
            </w14:solidFill>
          </w14:textFill>
        </w:rPr>
        <w:t>民政局、</w:t>
      </w:r>
      <w:r>
        <w:rPr>
          <w:rFonts w:hint="eastAsia" w:eastAsia="仿宋"/>
          <w:color w:val="000000" w:themeColor="text1"/>
          <w:kern w:val="0"/>
          <w:sz w:val="32"/>
          <w:szCs w:val="32"/>
          <w:lang w:val="en-US" w:eastAsia="zh-CN"/>
          <w14:textFill>
            <w14:solidFill>
              <w14:schemeClr w14:val="tx1"/>
            </w14:solidFill>
          </w14:textFill>
        </w:rPr>
        <w:t>区自然资源局、</w:t>
      </w:r>
      <w:r>
        <w:rPr>
          <w:rFonts w:eastAsia="仿宋"/>
          <w:color w:val="000000" w:themeColor="text1"/>
          <w:kern w:val="0"/>
          <w:sz w:val="32"/>
          <w:szCs w:val="32"/>
          <w14:textFill>
            <w14:solidFill>
              <w14:schemeClr w14:val="tx1"/>
            </w14:solidFill>
          </w14:textFill>
        </w:rPr>
        <w:t>华亭镇、常太镇、灵川镇、东海镇等相关单位为成员单位。</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区饮用水源地应急指挥部下设区饮用水源地应急办，挂靠在区生态环境局，区生态环境局分管副局长兼任办公室主任。</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区饮用水源地应急指挥部相关人员、职责、联系方式详见附件1。</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182" w:name="_Toc523153511"/>
      <w:bookmarkStart w:id="183" w:name="_Toc29979"/>
      <w:bookmarkStart w:id="184" w:name="_Toc523223349"/>
      <w:bookmarkStart w:id="185" w:name="_Toc30841"/>
      <w:bookmarkStart w:id="186" w:name="_Toc523223889"/>
      <w:bookmarkStart w:id="187" w:name="_Toc523220080"/>
      <w:bookmarkStart w:id="188" w:name="_Toc529453261"/>
      <w:bookmarkStart w:id="189" w:name="_Toc529453107"/>
      <w:bookmarkStart w:id="190" w:name="_Toc527026540"/>
      <w:bookmarkStart w:id="191" w:name="_Toc21906"/>
      <w:bookmarkStart w:id="192" w:name="_Toc528234243"/>
      <w:bookmarkStart w:id="193" w:name="_Toc523219301"/>
      <w:bookmarkStart w:id="194" w:name="_Toc523219590"/>
      <w:bookmarkStart w:id="195" w:name="_Toc522893232"/>
      <w:bookmarkStart w:id="196" w:name="_Toc2357"/>
      <w:r>
        <w:rPr>
          <w:rFonts w:hint="eastAsia" w:eastAsia="仿宋"/>
          <w:b/>
          <w:color w:val="000000" w:themeColor="text1"/>
          <w:sz w:val="32"/>
          <w:szCs w:val="32"/>
          <w14:textFill>
            <w14:solidFill>
              <w14:schemeClr w14:val="tx1"/>
            </w14:solidFill>
          </w14:textFill>
        </w:rPr>
        <w:t>2.2现场应急指挥部</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当信息研判和会商判断水源地水质可能受影响时或事件发生后，区饮用水源地应急指挥部根据事件发展态势及应急响应的工作需要设立现场应急指挥部，负责现场指挥工作。区饮用水源地应急指挥部根据不同突发环境事件情景，在应急组织指挥机构中选择有直接关系的部门和单位成立现场应急指挥部。现场应急指挥部作为现场应急指挥机构，在区饮用水源地应急指挥部的领导下，全面负责指挥、组织和协调水源地突发环境事件的应急响应工作。现场应急指挥部的指挥长，由区饮用水源地应急指挥部总指挥指定。现场应急指挥部成员，由区饮用水源地应急指挥部各成员单位有关人员组成。所有参与应急救援的队伍和人员必须服从现场应急指挥部的指挥。</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现场应急指挥部主要职责：</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（1）执行区饮用水源地应急指挥部各项应急指令；</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（2）研判事件性质及危害程度，组织制定现场应急救援方案并实施应急处置，控制、消除危害影响；</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（3）向区饮用水源地应急指挥部报告现场应急响应和救援进展情况，为区饮用水源地应急指挥部决策提供实时信息和数据；</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（4）向区饮用水源地应急指挥部提出现场应急结束的建议，经区饮用水源地应急指挥部同意后宣布现场应急结束。</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197" w:name="_Toc523220081"/>
      <w:bookmarkStart w:id="198" w:name="_Toc7038"/>
      <w:bookmarkStart w:id="199" w:name="_Toc523223890"/>
      <w:bookmarkStart w:id="200" w:name="_Toc32035"/>
      <w:bookmarkStart w:id="201" w:name="_Toc528234244"/>
      <w:bookmarkStart w:id="202" w:name="_Toc9582"/>
      <w:bookmarkStart w:id="203" w:name="_Toc529453262"/>
      <w:bookmarkStart w:id="204" w:name="_Toc529453108"/>
      <w:bookmarkStart w:id="205" w:name="_Toc523219591"/>
      <w:bookmarkStart w:id="206" w:name="_Toc23699"/>
      <w:bookmarkStart w:id="207" w:name="_Toc523219302"/>
      <w:bookmarkStart w:id="208" w:name="_Toc523153512"/>
      <w:bookmarkStart w:id="209" w:name="_Toc523223350"/>
      <w:bookmarkStart w:id="210" w:name="_Toc527026541"/>
      <w:bookmarkStart w:id="211" w:name="_Toc522893233"/>
      <w:r>
        <w:rPr>
          <w:rFonts w:hint="eastAsia" w:eastAsia="仿宋"/>
          <w:b/>
          <w:color w:val="000000" w:themeColor="text1"/>
          <w:sz w:val="32"/>
          <w:szCs w:val="32"/>
          <w14:textFill>
            <w14:solidFill>
              <w14:schemeClr w14:val="tx1"/>
            </w14:solidFill>
          </w14:textFill>
        </w:rPr>
        <w:t>2.3现场应急工作组</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事件发生后，现场应急指挥部根据事件现场实际情况成立现场应急工作组，工作组包括应急处置组、应急监测组、应急供水保障组、应急物资保障组、应急专家组、综合组等，各工作组组成、职责分工和人员名单见附件2。</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城厢区水源地突发环境事件应急组织指挥体系框架图见附件3。</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不同类型突发环境事件现场应急指挥部及应急工作组组成见附件4。</w:t>
      </w:r>
    </w:p>
    <w:p>
      <w:pPr>
        <w:adjustRightInd w:val="0"/>
        <w:snapToGrid w:val="0"/>
        <w:spacing w:line="324" w:lineRule="auto"/>
        <w:outlineLvl w:val="0"/>
        <w:rPr>
          <w:rFonts w:eastAsia="黑体"/>
          <w:bCs/>
          <w:color w:val="000000" w:themeColor="text1"/>
          <w:sz w:val="32"/>
          <w:szCs w:val="32"/>
          <w14:textFill>
            <w14:solidFill>
              <w14:schemeClr w14:val="tx1"/>
            </w14:solidFill>
          </w14:textFill>
        </w:rPr>
      </w:pPr>
      <w:bookmarkStart w:id="212" w:name="_Toc529453263"/>
      <w:bookmarkStart w:id="213" w:name="_Toc523219303"/>
      <w:bookmarkStart w:id="214" w:name="_Toc523220082"/>
      <w:bookmarkStart w:id="215" w:name="_Toc523153513"/>
      <w:bookmarkStart w:id="216" w:name="_Toc527026542"/>
      <w:bookmarkStart w:id="217" w:name="_Toc528234245"/>
      <w:bookmarkStart w:id="218" w:name="_Toc529453109"/>
      <w:bookmarkStart w:id="219" w:name="_Toc13877"/>
      <w:bookmarkStart w:id="220" w:name="_Toc11648"/>
      <w:bookmarkStart w:id="221" w:name="_Toc18331"/>
      <w:bookmarkStart w:id="222" w:name="_Toc523219592"/>
      <w:bookmarkStart w:id="223" w:name="_Toc523223891"/>
      <w:bookmarkStart w:id="224" w:name="_Toc523223351"/>
      <w:bookmarkStart w:id="225" w:name="_Toc522893234"/>
      <w:bookmarkStart w:id="226" w:name="_Toc29889"/>
      <w:r>
        <w:rPr>
          <w:rFonts w:hint="eastAsia" w:eastAsia="黑体"/>
          <w:bCs/>
          <w:color w:val="000000" w:themeColor="text1"/>
          <w:sz w:val="32"/>
          <w:szCs w:val="32"/>
          <w14:textFill>
            <w14:solidFill>
              <w14:schemeClr w14:val="tx1"/>
            </w14:solidFill>
          </w14:textFill>
        </w:rPr>
        <w:t>3应急响应</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城厢区水源地突发环境事件应急响应流程图见附件5。</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227" w:name="_Toc523223352"/>
      <w:bookmarkStart w:id="228" w:name="_Toc527026543"/>
      <w:bookmarkStart w:id="229" w:name="_Toc529453264"/>
      <w:bookmarkStart w:id="230" w:name="_Toc523220083"/>
      <w:bookmarkStart w:id="231" w:name="_Toc529453110"/>
      <w:bookmarkStart w:id="232" w:name="_Toc523153514"/>
      <w:bookmarkStart w:id="233" w:name="_Toc522893235"/>
      <w:bookmarkStart w:id="234" w:name="_Toc8220"/>
      <w:bookmarkStart w:id="235" w:name="_Toc523219593"/>
      <w:bookmarkStart w:id="236" w:name="_Toc523223892"/>
      <w:bookmarkStart w:id="237" w:name="_Toc523219304"/>
      <w:bookmarkStart w:id="238" w:name="_Toc528234246"/>
      <w:bookmarkStart w:id="239" w:name="_Toc30394"/>
      <w:bookmarkStart w:id="240" w:name="_Toc9217"/>
      <w:bookmarkStart w:id="241" w:name="_Toc8482"/>
      <w:r>
        <w:rPr>
          <w:rFonts w:hint="eastAsia" w:eastAsia="仿宋"/>
          <w:b/>
          <w:color w:val="000000" w:themeColor="text1"/>
          <w:sz w:val="32"/>
          <w:szCs w:val="32"/>
          <w14:textFill>
            <w14:solidFill>
              <w14:schemeClr w14:val="tx1"/>
            </w14:solidFill>
          </w14:textFill>
        </w:rPr>
        <w:t>3.1信息收集和研判</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242" w:name="_Toc9456"/>
      <w:bookmarkStart w:id="243" w:name="_Toc2113"/>
      <w:bookmarkStart w:id="244" w:name="_Toc504046361"/>
      <w:bookmarkStart w:id="245" w:name="_Toc14517"/>
      <w:bookmarkStart w:id="246" w:name="_Toc16654"/>
      <w:bookmarkStart w:id="247" w:name="_Toc523153515"/>
      <w:bookmarkStart w:id="248" w:name="_Toc1043"/>
      <w:bookmarkStart w:id="249" w:name="_Toc523220084"/>
      <w:bookmarkStart w:id="250" w:name="_Toc518463473"/>
      <w:bookmarkStart w:id="251" w:name="_Toc527026544"/>
      <w:bookmarkStart w:id="252" w:name="_Toc31475"/>
      <w:r>
        <w:rPr>
          <w:rFonts w:hint="eastAsia" w:eastAsia="仿宋"/>
          <w:b/>
          <w:color w:val="000000" w:themeColor="text1"/>
          <w:sz w:val="32"/>
          <w:szCs w:val="32"/>
          <w14:textFill>
            <w14:solidFill>
              <w14:schemeClr w14:val="tx1"/>
            </w14:solidFill>
          </w14:textFill>
        </w:rPr>
        <w:t>3.1.1</w:t>
      </w:r>
      <w:bookmarkEnd w:id="242"/>
      <w:bookmarkEnd w:id="243"/>
      <w:bookmarkEnd w:id="244"/>
      <w:r>
        <w:rPr>
          <w:rFonts w:hint="eastAsia" w:eastAsia="仿宋"/>
          <w:b/>
          <w:color w:val="000000" w:themeColor="text1"/>
          <w:sz w:val="32"/>
          <w:szCs w:val="32"/>
          <w14:textFill>
            <w14:solidFill>
              <w14:schemeClr w14:val="tx1"/>
            </w14:solidFill>
          </w14:textFill>
        </w:rPr>
        <w:t>信息收集</w:t>
      </w:r>
      <w:bookmarkEnd w:id="245"/>
      <w:bookmarkEnd w:id="246"/>
      <w:bookmarkEnd w:id="247"/>
      <w:bookmarkEnd w:id="248"/>
      <w:bookmarkEnd w:id="249"/>
      <w:bookmarkEnd w:id="250"/>
      <w:bookmarkEnd w:id="251"/>
      <w:bookmarkEnd w:id="252"/>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饮用水源地应急指挥部有关成员单位等各相关部门要开展环境信息、自然灾害预警信息、常规环境监测数据的综合分析和风险评估工作。各相关部门按照各自职责收集和传递我区水源地突发环境事件（地域范围为水源地一、二级保护区范围内）的信息，并及时将相关信息通报区饮用水源地应急办。区饮用水源地应急指挥部根据事态发展，必要时，及时组织专家研究，提出意见报区政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（1）区生态环境局、区水利局负责水源地突发环境事件信息的监控和传递工作。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（2）区公安局、区交通运输局负责交通事故引发水源地突发环境事件信息的监控和传递工作。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（3）区应急管理局负责生产安全事故、自然灾害引发水源地突发环境事件信息的监控和传递工作。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（4）各水源地管理单位负责水源地保护的日常巡查和监管，做好突发环境事件信息的监控和传递工作。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（5）任何部门、单位或公民一旦发现水源地污染事故或接到污染事故报告后，应当立即拨打24小时值班电话12369。</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本级政府不同部门之间应建立信息收集与共享渠道，获取突发环境事件信息。信息来源包括但不限于以下途径：</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水源地所属行政区域的生态环境局、水利局、卫生健康局、各镇政府、自来水厂等部门，应通过流域、水源地或供水单位开展的水质监督性监测（常规断面）、东圳水库应通过在线监测（常规和预警监控断面）等日常监管渠道获取水质异常信息，应通过水文气象、地质灾害、污染源排放等信息开展水质预测预警，获取水质异常信息。</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生态环境部门应通过水源地上游及周边主要风险源监控获取异常排放信息，应通过12369热线、网络等途径获取突发环境事件信息；公安交通部门应通过交通事故报警获取流动源事故信息；水利部门应通过对湖泊（水库）藻密度变化情况的观测，获取水华事件信息。</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（3）通过本级政府不同部门之间、上下游相邻行政区域政府之间建立的信息收集与共享渠道，获取突发环境事件信息。</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（4）各水源地管理单位通过日常巡查、水质监测等日常监管渠道获取水质异常信息。</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253" w:name="_Toc27008"/>
      <w:bookmarkStart w:id="254" w:name="_Toc523220085"/>
      <w:bookmarkStart w:id="255" w:name="_Toc17354"/>
      <w:bookmarkStart w:id="256" w:name="_Toc518463474"/>
      <w:bookmarkStart w:id="257" w:name="_Toc527026545"/>
      <w:bookmarkStart w:id="258" w:name="_Toc9888"/>
      <w:bookmarkStart w:id="259" w:name="_Toc523153516"/>
      <w:bookmarkStart w:id="260" w:name="_Toc19937"/>
      <w:r>
        <w:rPr>
          <w:rFonts w:hint="eastAsia" w:eastAsia="仿宋"/>
          <w:b/>
          <w:color w:val="000000" w:themeColor="text1"/>
          <w:sz w:val="32"/>
          <w:szCs w:val="32"/>
          <w14:textFill>
            <w14:solidFill>
              <w14:schemeClr w14:val="tx1"/>
            </w14:solidFill>
          </w14:textFill>
        </w:rPr>
        <w:t>3.1.2信息研判和会商</w:t>
      </w:r>
      <w:bookmarkEnd w:id="253"/>
      <w:bookmarkEnd w:id="254"/>
      <w:bookmarkEnd w:id="255"/>
      <w:bookmarkEnd w:id="256"/>
      <w:bookmarkEnd w:id="257"/>
      <w:bookmarkEnd w:id="258"/>
      <w:bookmarkEnd w:id="259"/>
      <w:bookmarkEnd w:id="260"/>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区饮用水源地应急办负责信息核实和研判工作。通过日常监管渠道首次发现风险源或水质异常或群众举报、责任单位报告等获取突发事件信息，应第一时间开展以下工作：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（1）核实信息的真实性；</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（2）进一步收集信息，研判水质变化趋势；必要时，应根据预案情景和部门职责，及时通报有关部门共同开展信息收集工作；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（3）发现可能导致水源地突发环境事件的信息时，应及时将有关信息报告区饮用水源地应急指挥部。</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接到信息报告的区饮用水源地应急指挥部应立即组织有关部门及应急专家进行会商，对收集到的信息进行筛选、评估、分析，研判水质变化趋势，提出应对方案和建议，研究决定是否发布预警信息或启动应急预案；若判断可能对水源地水质造成影响，应根据水源地突发环境事件类型选择有直接关系的部门和单位立即成立现场应急指挥部。</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城厢区水源地突发环境事件现场调查表及现场勘查图见附件6。</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261" w:name="_Toc523220086"/>
      <w:bookmarkStart w:id="262" w:name="_Toc528234247"/>
      <w:bookmarkStart w:id="263" w:name="_Toc31194"/>
      <w:bookmarkStart w:id="264" w:name="_Toc529453265"/>
      <w:bookmarkStart w:id="265" w:name="_Toc4750"/>
      <w:bookmarkStart w:id="266" w:name="_Toc522893236"/>
      <w:bookmarkStart w:id="267" w:name="_Toc523219305"/>
      <w:bookmarkStart w:id="268" w:name="_Toc523223893"/>
      <w:bookmarkStart w:id="269" w:name="_Toc527026546"/>
      <w:bookmarkStart w:id="270" w:name="_Toc529453111"/>
      <w:bookmarkStart w:id="271" w:name="_Toc12182"/>
      <w:bookmarkStart w:id="272" w:name="_Toc523223353"/>
      <w:bookmarkStart w:id="273" w:name="_Toc523153517"/>
      <w:bookmarkStart w:id="274" w:name="_Toc7974"/>
      <w:bookmarkStart w:id="275" w:name="_Toc523219594"/>
      <w:r>
        <w:rPr>
          <w:rFonts w:hint="eastAsia" w:eastAsia="仿宋"/>
          <w:b/>
          <w:color w:val="000000" w:themeColor="text1"/>
          <w:sz w:val="32"/>
          <w:szCs w:val="32"/>
          <w14:textFill>
            <w14:solidFill>
              <w14:schemeClr w14:val="tx1"/>
            </w14:solidFill>
          </w14:textFill>
        </w:rPr>
        <w:t>3.2预警</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276" w:name="_Toc1447"/>
      <w:bookmarkStart w:id="277" w:name="_Toc527026548"/>
      <w:bookmarkStart w:id="278" w:name="_Toc20677"/>
      <w:bookmarkStart w:id="279" w:name="_Toc523220088"/>
      <w:bookmarkStart w:id="280" w:name="_Toc2721"/>
      <w:bookmarkStart w:id="281" w:name="_Toc523153519"/>
      <w:r>
        <w:rPr>
          <w:rFonts w:hint="eastAsia" w:eastAsia="仿宋"/>
          <w:b/>
          <w:color w:val="000000" w:themeColor="text1"/>
          <w:sz w:val="32"/>
          <w:szCs w:val="32"/>
          <w14:textFill>
            <w14:solidFill>
              <w14:schemeClr w14:val="tx1"/>
            </w14:solidFill>
          </w14:textFill>
        </w:rPr>
        <w:t>3.2.1预警分级</w:t>
      </w:r>
      <w:bookmarkEnd w:id="276"/>
      <w:bookmarkEnd w:id="277"/>
      <w:bookmarkEnd w:id="278"/>
      <w:bookmarkEnd w:id="279"/>
      <w:bookmarkEnd w:id="280"/>
      <w:bookmarkEnd w:id="281"/>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按照集中式饮用水源突发环境事件的紧急程度、发展态势或可能造成的危害程度，突发环境事件</w:t>
      </w:r>
      <w:r>
        <w:rPr>
          <w:rFonts w:hint="eastAsia" w:eastAsia="仿宋"/>
          <w:color w:val="000000" w:themeColor="text1"/>
          <w:kern w:val="0"/>
          <w:sz w:val="32"/>
          <w:szCs w:val="32"/>
          <w:lang w:eastAsia="zh-CN"/>
          <w14:textFill>
            <w14:solidFill>
              <w14:schemeClr w14:val="tx1"/>
            </w14:solidFill>
          </w14:textFill>
        </w:rPr>
        <w:t>预警</w:t>
      </w:r>
      <w:r>
        <w:rPr>
          <w:rFonts w:hint="eastAsia" w:eastAsia="仿宋"/>
          <w:color w:val="000000" w:themeColor="text1"/>
          <w:kern w:val="0"/>
          <w:sz w:val="32"/>
          <w:szCs w:val="32"/>
          <w14:textFill>
            <w14:solidFill>
              <w14:schemeClr w14:val="tx1"/>
            </w14:solidFill>
          </w14:textFill>
        </w:rPr>
        <w:t>分为二级，</w:t>
      </w:r>
      <w:r>
        <w:rPr>
          <w:rFonts w:hint="eastAsia" w:eastAsia="仿宋_GB2312"/>
          <w:color w:val="000000" w:themeColor="text1"/>
          <w:sz w:val="32"/>
          <w:szCs w:val="32"/>
          <w14:textFill>
            <w14:solidFill>
              <w14:schemeClr w14:val="tx1"/>
            </w14:solidFill>
          </w14:textFill>
        </w:rPr>
        <w:t>为</w:t>
      </w:r>
      <w:r>
        <w:rPr>
          <w:rFonts w:hint="eastAsia" w:ascii="宋体" w:hAnsi="宋体" w:cs="宋体"/>
          <w:color w:val="000000" w:themeColor="text1"/>
          <w:sz w:val="32"/>
          <w:szCs w:val="32"/>
          <w14:textFill>
            <w14:solidFill>
              <w14:schemeClr w14:val="tx1"/>
            </w14:solidFill>
          </w14:textFill>
        </w:rPr>
        <w:t>Ⅰ</w:t>
      </w:r>
      <w:r>
        <w:rPr>
          <w:rFonts w:hint="eastAsia" w:eastAsia="仿宋_GB2312"/>
          <w:color w:val="000000" w:themeColor="text1"/>
          <w:sz w:val="32"/>
          <w:szCs w:val="32"/>
          <w14:textFill>
            <w14:solidFill>
              <w14:schemeClr w14:val="tx1"/>
            </w14:solidFill>
          </w14:textFill>
        </w:rPr>
        <w:t>级、</w:t>
      </w:r>
      <w:r>
        <w:rPr>
          <w:rFonts w:hint="eastAsia" w:ascii="宋体" w:hAnsi="宋体" w:cs="宋体"/>
          <w:color w:val="000000" w:themeColor="text1"/>
          <w:sz w:val="32"/>
          <w:szCs w:val="32"/>
          <w14:textFill>
            <w14:solidFill>
              <w14:schemeClr w14:val="tx1"/>
            </w14:solidFill>
          </w14:textFill>
        </w:rPr>
        <w:t>Ⅱ</w:t>
      </w:r>
      <w:r>
        <w:rPr>
          <w:rFonts w:hint="eastAsia" w:eastAsia="仿宋_GB2312"/>
          <w:color w:val="000000" w:themeColor="text1"/>
          <w:sz w:val="32"/>
          <w:szCs w:val="32"/>
          <w14:textFill>
            <w14:solidFill>
              <w14:schemeClr w14:val="tx1"/>
            </w14:solidFill>
          </w14:textFill>
        </w:rPr>
        <w:t>级预警，</w:t>
      </w:r>
      <w:r>
        <w:rPr>
          <w:rFonts w:hint="eastAsia" w:eastAsia="仿宋"/>
          <w:color w:val="000000" w:themeColor="text1"/>
          <w:kern w:val="0"/>
          <w:sz w:val="32"/>
          <w:szCs w:val="32"/>
          <w14:textFill>
            <w14:solidFill>
              <w14:schemeClr w14:val="tx1"/>
            </w14:solidFill>
          </w14:textFill>
        </w:rPr>
        <w:t>预警级别由低到高，颜色依次为橙色、红色。</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橙色预警：当突发环境事件排放的污染物迁移至水源地应急预案适用的地域范围，但水源保护区或其连接水体尚未受到污染，或是污染物已进入水源保护区上游连接水体（外度水库），但应急专家组研判认为对水源地水质影响可能较小、可能不影响取水时，为橙色</w:t>
      </w:r>
      <w:r>
        <w:rPr>
          <w:rFonts w:hint="eastAsia" w:eastAsia="仿宋_GB2312"/>
          <w:color w:val="000000" w:themeColor="text1"/>
          <w:sz w:val="32"/>
          <w:szCs w:val="32"/>
          <w14:textFill>
            <w14:solidFill>
              <w14:schemeClr w14:val="tx1"/>
            </w14:solidFill>
          </w14:textFill>
        </w:rPr>
        <w:t>（Ⅱ级）</w:t>
      </w:r>
      <w:r>
        <w:rPr>
          <w:rFonts w:hint="eastAsia" w:eastAsia="仿宋"/>
          <w:color w:val="000000" w:themeColor="text1"/>
          <w:kern w:val="0"/>
          <w:sz w:val="32"/>
          <w:szCs w:val="32"/>
          <w14:textFill>
            <w14:solidFill>
              <w14:schemeClr w14:val="tx1"/>
            </w14:solidFill>
          </w14:textFill>
        </w:rPr>
        <w:t>预警；</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红色预警：当污染物已进入（或出现在）水源保护区或其上游连接水体（外度水库），且应急专家组研判认为对水源地水质影响可能较大、可能影响取水时，为红色</w:t>
      </w:r>
      <w:r>
        <w:rPr>
          <w:rFonts w:hint="eastAsia" w:eastAsia="仿宋_GB2312"/>
          <w:color w:val="000000" w:themeColor="text1"/>
          <w:sz w:val="32"/>
          <w:szCs w:val="32"/>
          <w14:textFill>
            <w14:solidFill>
              <w14:schemeClr w14:val="tx1"/>
            </w14:solidFill>
          </w14:textFill>
        </w:rPr>
        <w:t>（Ⅰ级）</w:t>
      </w:r>
      <w:r>
        <w:rPr>
          <w:rFonts w:hint="eastAsia" w:eastAsia="仿宋"/>
          <w:color w:val="000000" w:themeColor="text1"/>
          <w:kern w:val="0"/>
          <w:sz w:val="32"/>
          <w:szCs w:val="32"/>
          <w14:textFill>
            <w14:solidFill>
              <w14:schemeClr w14:val="tx1"/>
            </w14:solidFill>
          </w14:textFill>
        </w:rPr>
        <w:t>预警。预警级别由应急专家组提出建议，区饮用水源地应急指挥部确定。</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发布橙色预警时，仅采取预警行动；发布红色预警时，在采取预警行动的同时，应启动应急措施。</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282" w:name="_Toc523153520"/>
      <w:bookmarkStart w:id="283" w:name="_Toc28395"/>
      <w:bookmarkStart w:id="284" w:name="_Toc12341"/>
      <w:bookmarkStart w:id="285" w:name="_Toc9541"/>
      <w:bookmarkStart w:id="286" w:name="_Toc523220089"/>
      <w:bookmarkStart w:id="287" w:name="_Toc527026549"/>
      <w:bookmarkStart w:id="288" w:name="_Toc518463477"/>
      <w:r>
        <w:rPr>
          <w:rFonts w:hint="eastAsia" w:eastAsia="仿宋"/>
          <w:b/>
          <w:color w:val="000000" w:themeColor="text1"/>
          <w:sz w:val="32"/>
          <w:szCs w:val="32"/>
          <w14:textFill>
            <w14:solidFill>
              <w14:schemeClr w14:val="tx1"/>
            </w14:solidFill>
          </w14:textFill>
        </w:rPr>
        <w:t>3.2.2预警的启动条件</w:t>
      </w:r>
      <w:bookmarkEnd w:id="282"/>
      <w:bookmarkEnd w:id="283"/>
      <w:bookmarkEnd w:id="284"/>
      <w:bookmarkEnd w:id="285"/>
      <w:bookmarkEnd w:id="286"/>
      <w:bookmarkEnd w:id="287"/>
      <w:bookmarkEnd w:id="288"/>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根据信息获取方式，综合考虑突发事件类型、发生地点、污染物质种类和数量等情况，橙色、红色预警的启动条件如下：</w:t>
      </w:r>
      <w:bookmarkStart w:id="289" w:name="_Toc3662"/>
      <w:bookmarkStart w:id="290" w:name="_Toc518463478"/>
    </w:p>
    <w:p>
      <w:pPr>
        <w:shd w:val="solid" w:color="FFFFFF" w:fill="auto"/>
        <w:autoSpaceDN w:val="0"/>
        <w:adjustRightInd w:val="0"/>
        <w:snapToGrid w:val="0"/>
        <w:spacing w:line="324" w:lineRule="auto"/>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3.2.2.1</w:t>
      </w:r>
      <w:r>
        <w:rPr>
          <w:rFonts w:hint="eastAsia" w:cs="宋体"/>
          <w:b/>
          <w:bCs/>
          <w:color w:val="000000" w:themeColor="text1"/>
          <w:sz w:val="32"/>
          <w:szCs w:val="32"/>
          <w14:textFill>
            <w14:solidFill>
              <w14:schemeClr w14:val="tx1"/>
            </w14:solidFill>
          </w14:textFill>
        </w:rPr>
        <w:t>橙色预警</w:t>
      </w:r>
      <w:bookmarkEnd w:id="289"/>
      <w:bookmarkEnd w:id="290"/>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下列情形均可作为橙色预警启动条件。</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（1）通过信息报告发现，在一级、二级保护区内可能由于自然灾害引发水源地发生突发环境事件。</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（2）通过信息报告发现，在二级保护区上游汇水区域内发生固定源或流动源突发环境事件，或污染物已扩散至距水源保护区上游连接水体（外度水库）的直线距离超过200米的陆域或水域。</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（3）通过信息报告发现，在二级保护区内水源水质和二级保护区上游汇水区域水体水质有发生水华灾害事件的趋势。</w:t>
      </w:r>
      <w:bookmarkStart w:id="291" w:name="_Toc518463479"/>
      <w:bookmarkStart w:id="292" w:name="_Toc12939"/>
    </w:p>
    <w:p>
      <w:pPr>
        <w:shd w:val="solid" w:color="FFFFFF" w:fill="auto"/>
        <w:autoSpaceDN w:val="0"/>
        <w:adjustRightInd w:val="0"/>
        <w:snapToGrid w:val="0"/>
        <w:spacing w:line="324" w:lineRule="auto"/>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3.2.2.2红色预警</w:t>
      </w:r>
      <w:bookmarkEnd w:id="291"/>
      <w:bookmarkEnd w:id="292"/>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下列情形均可作为红色预警启动条件。</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（1）通过信息报告发现，在一级、二级保护区内发生突发环境事件。</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（2）通过信息报告发现，在二级保护区上游汇水区域范围内发生固定源或流动源突发环境事件，或污染物已扩散至距水源保护区上游连接水体（外度水库）的直线距离不足100米的陆域或水域。</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通过信息报告发现，在二级保护区上游汇水区域范围内发生固定源或流动源突发环境事件，或污染物已扩散至距水源保护区上游连接水体（外度水库）的直线距离不足200米的陆域或水域，经水质监测和信息研判，判断污染物迁移至取水口位置时，相应指标浓度仍会超标的。</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（4）通过监测发现，水源保护区或其上游连接水体（外度水库）理化指标异常。</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①在二级保护区内，出现自动站水质监测指标超标或生物综合毒性异常，经实验室监（复）测确认的；</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②在二级保护区上游汇水区域范围内，出现水质监测指标、有毒有害物质或生物综合毒性异常，且污染物浓度持续升高的；</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③在二级保护区上游汇水区域范围内，出现水质监测指标、有毒有害物质或生物综合毒性异常的。</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（5）通过监测发现，水源保护区或其上游连接水体（外度水库）感官性状异常，即水体出现异常颜色或气味的。</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（6）通过</w:t>
      </w:r>
      <w:r>
        <w:rPr>
          <w:rFonts w:hint="eastAsia" w:eastAsia="仿宋"/>
          <w:color w:val="000000" w:themeColor="text1"/>
          <w:kern w:val="0"/>
          <w:sz w:val="32"/>
          <w:szCs w:val="32"/>
          <w:lang w:eastAsia="zh-CN"/>
          <w14:textFill>
            <w14:solidFill>
              <w14:schemeClr w14:val="tx1"/>
            </w14:solidFill>
          </w14:textFill>
        </w:rPr>
        <w:t>巡查、</w:t>
      </w:r>
      <w:r>
        <w:rPr>
          <w:rFonts w:hint="eastAsia" w:eastAsia="仿宋"/>
          <w:color w:val="000000" w:themeColor="text1"/>
          <w:kern w:val="0"/>
          <w:sz w:val="32"/>
          <w:szCs w:val="32"/>
          <w14:textFill>
            <w14:solidFill>
              <w14:schemeClr w14:val="tx1"/>
            </w14:solidFill>
          </w14:textFill>
        </w:rPr>
        <w:t>监测发现，水源保护区或其上游连接水体（外度水库）生态指标异常，即水面出现大面积死鱼或生物综合毒性异常并经实验室监测后确认的。</w:t>
      </w:r>
    </w:p>
    <w:p>
      <w:pPr>
        <w:widowControl/>
        <w:adjustRightInd w:val="0"/>
        <w:snapToGrid w:val="0"/>
        <w:spacing w:line="360" w:lineRule="auto"/>
        <w:jc w:val="left"/>
        <w:outlineLvl w:val="2"/>
        <w:rPr>
          <w:rFonts w:eastAsia="仿宋"/>
          <w:b/>
          <w:color w:val="000000" w:themeColor="text1"/>
          <w:sz w:val="32"/>
          <w:szCs w:val="32"/>
          <w14:textFill>
            <w14:solidFill>
              <w14:schemeClr w14:val="tx1"/>
            </w14:solidFill>
          </w14:textFill>
        </w:rPr>
      </w:pPr>
      <w:bookmarkStart w:id="293" w:name="_Toc12027"/>
      <w:bookmarkStart w:id="294" w:name="_Toc523220090"/>
      <w:bookmarkStart w:id="295" w:name="_Toc527026550"/>
      <w:bookmarkStart w:id="296" w:name="_Toc7226"/>
      <w:bookmarkStart w:id="297" w:name="_Toc523153521"/>
      <w:bookmarkStart w:id="298" w:name="_Toc3914"/>
      <w:bookmarkStart w:id="299" w:name="_Toc518463480"/>
      <w:r>
        <w:rPr>
          <w:rFonts w:hint="eastAsia" w:eastAsia="仿宋"/>
          <w:b/>
          <w:color w:val="000000" w:themeColor="text1"/>
          <w:sz w:val="32"/>
          <w:szCs w:val="32"/>
          <w14:textFill>
            <w14:solidFill>
              <w14:schemeClr w14:val="tx1"/>
            </w14:solidFill>
          </w14:textFill>
        </w:rPr>
        <w:t>3.2.3发布预警和预警级别调整</w:t>
      </w:r>
      <w:bookmarkEnd w:id="293"/>
      <w:bookmarkEnd w:id="294"/>
      <w:bookmarkEnd w:id="295"/>
      <w:bookmarkEnd w:id="296"/>
      <w:bookmarkEnd w:id="297"/>
      <w:bookmarkEnd w:id="298"/>
      <w:bookmarkEnd w:id="299"/>
      <w:bookmarkStart w:id="300" w:name="_Toc516048686"/>
    </w:p>
    <w:p>
      <w:pPr>
        <w:widowControl/>
        <w:adjustRightInd w:val="0"/>
        <w:snapToGrid w:val="0"/>
        <w:spacing w:line="360" w:lineRule="auto"/>
        <w:jc w:val="left"/>
        <w:outlineLvl w:val="2"/>
        <w:rPr>
          <w:b/>
          <w:bCs/>
          <w:color w:val="000000" w:themeColor="text1"/>
          <w:sz w:val="32"/>
          <w:szCs w:val="32"/>
          <w14:textFill>
            <w14:solidFill>
              <w14:schemeClr w14:val="tx1"/>
            </w14:solidFill>
          </w14:textFill>
        </w:rPr>
      </w:pPr>
      <w:bookmarkStart w:id="301" w:name="_Toc5752"/>
      <w:r>
        <w:rPr>
          <w:b/>
          <w:bCs/>
          <w:color w:val="000000" w:themeColor="text1"/>
          <w:sz w:val="32"/>
          <w:szCs w:val="32"/>
          <w14:textFill>
            <w14:solidFill>
              <w14:schemeClr w14:val="tx1"/>
            </w14:solidFill>
          </w14:textFill>
        </w:rPr>
        <w:t>3.2.3.1</w:t>
      </w:r>
      <w:r>
        <w:rPr>
          <w:rFonts w:hint="eastAsia"/>
          <w:b/>
          <w:bCs/>
          <w:color w:val="000000" w:themeColor="text1"/>
          <w:sz w:val="32"/>
          <w:szCs w:val="32"/>
          <w14:textFill>
            <w14:solidFill>
              <w14:schemeClr w14:val="tx1"/>
            </w14:solidFill>
          </w14:textFill>
        </w:rPr>
        <w:t>预警发布流程</w:t>
      </w:r>
      <w:bookmarkEnd w:id="300"/>
      <w:bookmarkEnd w:id="301"/>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区饮用水源地应急办研判可能发生饮用水源地突发环境事件时，应当及时向区水源地应急指挥部提出预警信息的发布建议，同时通报同级相关部门和单位。</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区级预警由区饮用水源地应急指挥部发布。</w:t>
      </w:r>
    </w:p>
    <w:p>
      <w:pPr>
        <w:shd w:val="solid" w:color="FFFFFF" w:fill="auto"/>
        <w:autoSpaceDN w:val="0"/>
        <w:adjustRightInd w:val="0"/>
        <w:snapToGrid w:val="0"/>
        <w:spacing w:line="324" w:lineRule="auto"/>
        <w:ind w:firstLine="640" w:firstLineChars="200"/>
        <w:rPr>
          <w:color w:val="000000" w:themeColor="text1"/>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发布流程：橙色预警由副总指挥（区政府分管环保副区长）签发；红色预警由总指挥（区政府分管环保副区长）签发。</w:t>
      </w:r>
      <w:bookmarkStart w:id="302" w:name="_Toc516048684"/>
      <w:bookmarkStart w:id="303" w:name="_Toc10240"/>
      <w:bookmarkStart w:id="304" w:name="_Toc523153522"/>
      <w:bookmarkStart w:id="305" w:name="_Toc518463485"/>
      <w:bookmarkStart w:id="306" w:name="_Toc527026551"/>
      <w:bookmarkStart w:id="307" w:name="_Toc523220091"/>
      <w:r>
        <w:rPr>
          <w:rFonts w:hint="eastAsia"/>
          <w:b/>
          <w:bCs/>
          <w:color w:val="000000" w:themeColor="text1"/>
          <w:sz w:val="32"/>
          <w:szCs w:val="32"/>
          <w14:textFill>
            <w14:solidFill>
              <w14:schemeClr w14:val="tx1"/>
            </w14:solidFill>
          </w14:textFill>
        </w:rPr>
        <w:t>3.2.3.2预警发布内容</w:t>
      </w:r>
      <w:bookmarkEnd w:id="302"/>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预警信息发布内容主要包括事件类别、预警级别、可能影响范围、警示事项、应当采取的措施和发布机关等。</w:t>
      </w:r>
      <w:bookmarkStart w:id="308" w:name="_Toc516048685"/>
    </w:p>
    <w:p>
      <w:pPr>
        <w:shd w:val="solid" w:color="FFFFFF" w:fill="auto"/>
        <w:autoSpaceDN w:val="0"/>
        <w:adjustRightInd w:val="0"/>
        <w:snapToGrid w:val="0"/>
        <w:spacing w:line="324" w:lineRule="auto"/>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3.2.3.3预警发布渠道</w:t>
      </w:r>
      <w:bookmarkEnd w:id="308"/>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bookmarkStart w:id="309" w:name="_Toc516048687"/>
      <w:r>
        <w:rPr>
          <w:rFonts w:hint="eastAsia" w:eastAsia="仿宋"/>
          <w:color w:val="000000" w:themeColor="text1"/>
          <w:kern w:val="0"/>
          <w:sz w:val="32"/>
          <w:szCs w:val="32"/>
          <w14:textFill>
            <w14:solidFill>
              <w14:schemeClr w14:val="tx1"/>
            </w14:solidFill>
          </w14:textFill>
        </w:rPr>
        <w:t>预警信息发布应充分利用广播、电视、互联网等手段和媒介，及时、准确地将预警信息传播给可能受影响的相关地区和人员。</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预警信息可选择通过以下途径发布：</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（1）通过已建立的区环境应急工作网络，以文件传真等方式向相关部门和相关镇政府（街道）发布预警信息。</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（2）通过区政府或区生态环境局门户网站、微博、移动客户端等发布预警信息。</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（3）提供应急预警的新闻稿，通过广播、电视、互联网等媒体发布预警信息。</w:t>
      </w:r>
    </w:p>
    <w:p>
      <w:pPr>
        <w:shd w:val="solid" w:color="FFFFFF" w:fill="auto"/>
        <w:autoSpaceDN w:val="0"/>
        <w:adjustRightInd w:val="0"/>
        <w:snapToGrid w:val="0"/>
        <w:spacing w:line="324" w:lineRule="auto"/>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3.2.3.4</w:t>
      </w:r>
      <w:r>
        <w:rPr>
          <w:rFonts w:hint="eastAsia"/>
          <w:b/>
          <w:bCs/>
          <w:color w:val="000000" w:themeColor="text1"/>
          <w:sz w:val="32"/>
          <w:szCs w:val="32"/>
          <w14:textFill>
            <w14:solidFill>
              <w14:schemeClr w14:val="tx1"/>
            </w14:solidFill>
          </w14:textFill>
        </w:rPr>
        <w:t>预警级别调整</w:t>
      </w:r>
      <w:bookmarkEnd w:id="309"/>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预警信息发布后，可根据事态发展、采取措施的效果和专家预警建议，适时调整预警级别并再次发布。</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310" w:name="_Toc12076"/>
      <w:bookmarkStart w:id="311" w:name="_Toc11904"/>
      <w:r>
        <w:rPr>
          <w:rFonts w:hint="eastAsia" w:eastAsia="仿宋"/>
          <w:b/>
          <w:color w:val="000000" w:themeColor="text1"/>
          <w:sz w:val="32"/>
          <w:szCs w:val="32"/>
          <w14:textFill>
            <w14:solidFill>
              <w14:schemeClr w14:val="tx1"/>
            </w14:solidFill>
          </w14:textFill>
        </w:rPr>
        <w:t>3.2.4预警行动</w:t>
      </w:r>
      <w:bookmarkEnd w:id="303"/>
      <w:bookmarkEnd w:id="304"/>
      <w:bookmarkEnd w:id="305"/>
      <w:bookmarkEnd w:id="306"/>
      <w:bookmarkEnd w:id="307"/>
      <w:bookmarkEnd w:id="310"/>
      <w:bookmarkEnd w:id="311"/>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预警信息发布后，区政府和有关部门应视事件情况和可能产生的影响，采取以下预警行动。一般情况下，发布红色预警时，现场应急指挥部的总指挥应当到达现场，组织开展应急响应工作。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预警行动包含但不限于以下内容：</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（1）下达启动水源地应急预案的命令。</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（2）通知现场应急指挥部中的有关单位和人员做好应急准备，进入待命状态，必要时到达现场开展相关工作。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（3）指令启动工程预警调度体系，控制或关闭受污染的连接水体的涵闸、泵站，做好相关准备工作。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（4）通知水源地对应的供水单位进入待命状态，做好停止取水、低压供水或启动备用水源等准备，发动群众储备饮用水。</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（5）加强信息监控，核实突发环境事件污染来源、进入水体的污染物种类、总量和污染扩散范围等信息。</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（6）开展应急监测或做好应急监测准备。</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（7）做好事件信息上报和通报。</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（8）调集所需应急物资和设备，做好应急保障。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（9）在危险区域设置提示或警告标志。</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（10）必要时，及时通过媒体向公众发布信息。</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（11）加强舆情监测、引导和应对工作。</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312" w:name="_Toc20846"/>
      <w:bookmarkStart w:id="313" w:name="_Toc523220092"/>
      <w:bookmarkStart w:id="314" w:name="_Toc25841"/>
      <w:bookmarkStart w:id="315" w:name="_Toc1360"/>
      <w:bookmarkStart w:id="316" w:name="_Toc523153523"/>
      <w:bookmarkStart w:id="317" w:name="_Toc518463486"/>
      <w:bookmarkStart w:id="318" w:name="_Toc527026552"/>
      <w:r>
        <w:rPr>
          <w:rFonts w:hint="eastAsia" w:eastAsia="仿宋"/>
          <w:b/>
          <w:color w:val="000000" w:themeColor="text1"/>
          <w:sz w:val="32"/>
          <w:szCs w:val="32"/>
          <w14:textFill>
            <w14:solidFill>
              <w14:schemeClr w14:val="tx1"/>
            </w14:solidFill>
          </w14:textFill>
        </w:rPr>
        <w:t>3.2.5预警解除</w:t>
      </w:r>
      <w:bookmarkEnd w:id="312"/>
      <w:bookmarkEnd w:id="313"/>
      <w:bookmarkEnd w:id="314"/>
      <w:bookmarkEnd w:id="315"/>
      <w:bookmarkEnd w:id="316"/>
      <w:bookmarkEnd w:id="317"/>
      <w:bookmarkEnd w:id="318"/>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当有事实证明不可能发生水源地突发环境事件或者判断危险已经解除的，由区饮用水源地应急指挥部宣布解除预警，终止已经采取的有关行动和措施。</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319" w:name="_Toc527026553"/>
      <w:bookmarkStart w:id="320" w:name="_Toc528234248"/>
      <w:bookmarkStart w:id="321" w:name="_Toc523219595"/>
      <w:bookmarkStart w:id="322" w:name="_Toc523223894"/>
      <w:bookmarkStart w:id="323" w:name="_Toc2734"/>
      <w:bookmarkStart w:id="324" w:name="_Toc529453112"/>
      <w:bookmarkStart w:id="325" w:name="_Toc522893237"/>
      <w:bookmarkStart w:id="326" w:name="_Toc29048"/>
      <w:bookmarkStart w:id="327" w:name="_Toc523220093"/>
      <w:bookmarkStart w:id="328" w:name="_Toc16753"/>
      <w:bookmarkStart w:id="329" w:name="_Toc523153524"/>
      <w:bookmarkStart w:id="330" w:name="_Toc20439"/>
      <w:bookmarkStart w:id="331" w:name="_Toc523219306"/>
      <w:bookmarkStart w:id="332" w:name="_Toc529453266"/>
      <w:bookmarkStart w:id="333" w:name="_Toc523223354"/>
      <w:r>
        <w:rPr>
          <w:rFonts w:hint="eastAsia" w:eastAsia="仿宋"/>
          <w:b/>
          <w:color w:val="000000" w:themeColor="text1"/>
          <w:sz w:val="32"/>
          <w:szCs w:val="32"/>
          <w14:textFill>
            <w14:solidFill>
              <w14:schemeClr w14:val="tx1"/>
            </w14:solidFill>
          </w14:textFill>
        </w:rPr>
        <w:t>3.3信息报告与通报</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区饮用水源地应急办设立24小时应急值班室（值班电话：12369），随时接报突发环境事件信息，及时做好下情上报，上情下达。</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334" w:name="_Toc31247"/>
      <w:bookmarkStart w:id="335" w:name="_Toc523153525"/>
      <w:bookmarkStart w:id="336" w:name="_Toc527026554"/>
      <w:bookmarkStart w:id="337" w:name="_Toc31288"/>
      <w:bookmarkStart w:id="338" w:name="_Toc523220094"/>
      <w:bookmarkStart w:id="339" w:name="_Toc14120"/>
      <w:bookmarkStart w:id="340" w:name="_Toc518463488"/>
      <w:r>
        <w:rPr>
          <w:rFonts w:hint="eastAsia" w:eastAsia="仿宋"/>
          <w:b/>
          <w:color w:val="000000" w:themeColor="text1"/>
          <w:sz w:val="32"/>
          <w:szCs w:val="32"/>
          <w14:textFill>
            <w14:solidFill>
              <w14:schemeClr w14:val="tx1"/>
            </w14:solidFill>
          </w14:textFill>
        </w:rPr>
        <w:t>3.3.1信息报告程序</w:t>
      </w:r>
      <w:bookmarkEnd w:id="334"/>
      <w:bookmarkEnd w:id="335"/>
      <w:bookmarkEnd w:id="336"/>
      <w:bookmarkEnd w:id="337"/>
      <w:bookmarkEnd w:id="338"/>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（1）发现已经造成或可能造成水源地污染的有关人员和责任单位，应按照有关规定立即向区饮用水源地应急指挥部及生态环境等部门报告。</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水源地突发环境事件发生地所属行政区域的镇政府（街道）有关部门在发现或得知水源地突发环境事件信息后，应立即进行核实，了解有关情况。经过核实后，第一时间向区饮用水源地应急指挥部及区饮用水源地应急办等部门报告。</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（3）区生态环境局先于事发地镇政府获悉水源地突发环境事件信息的，可要求事发地镇政府核实并报告相应信息。</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（4）特殊情况下，若遇到敏感事件或发生在重点地区、特殊时期、或可能演化为重大、特别重大突发环境事件的信息，有关责任单位和部门应立即向区饮用水源地应急指挥部报告。</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341" w:name="_Toc31468"/>
      <w:bookmarkStart w:id="342" w:name="_Toc523220095"/>
      <w:bookmarkStart w:id="343" w:name="_Toc527026555"/>
      <w:bookmarkStart w:id="344" w:name="_Toc523153526"/>
      <w:bookmarkStart w:id="345" w:name="_Toc19970"/>
      <w:r>
        <w:rPr>
          <w:rFonts w:hint="eastAsia" w:eastAsia="仿宋"/>
          <w:b/>
          <w:color w:val="000000" w:themeColor="text1"/>
          <w:sz w:val="32"/>
          <w:szCs w:val="32"/>
          <w14:textFill>
            <w14:solidFill>
              <w14:schemeClr w14:val="tx1"/>
            </w14:solidFill>
          </w14:textFill>
        </w:rPr>
        <w:t>3.3.2信息报告时限</w:t>
      </w:r>
      <w:bookmarkEnd w:id="339"/>
      <w:bookmarkEnd w:id="340"/>
      <w:bookmarkEnd w:id="341"/>
      <w:bookmarkEnd w:id="342"/>
      <w:bookmarkEnd w:id="343"/>
      <w:bookmarkEnd w:id="344"/>
      <w:bookmarkEnd w:id="345"/>
    </w:p>
    <w:p>
      <w:pPr>
        <w:shd w:val="solid" w:color="FFFFFF" w:fill="auto"/>
        <w:autoSpaceDN w:val="0"/>
        <w:adjustRightInd w:val="0"/>
        <w:snapToGrid w:val="0"/>
        <w:spacing w:line="324" w:lineRule="auto"/>
        <w:ind w:firstLine="640" w:firstLineChars="200"/>
        <w:rPr>
          <w:color w:val="000000" w:themeColor="text1"/>
          <w:highlight w:val="yellow"/>
          <w14:textFill>
            <w14:solidFill>
              <w14:schemeClr w14:val="tx1"/>
            </w14:solidFill>
          </w14:textFill>
        </w:rPr>
      </w:pPr>
      <w:bookmarkStart w:id="346" w:name="_Toc518463489"/>
      <w:bookmarkStart w:id="347" w:name="_Toc28471"/>
      <w:r>
        <w:rPr>
          <w:rFonts w:hint="eastAsia" w:eastAsia="仿宋"/>
          <w:color w:val="000000" w:themeColor="text1"/>
          <w:kern w:val="0"/>
          <w:sz w:val="32"/>
          <w:szCs w:val="32"/>
          <w14:textFill>
            <w14:solidFill>
              <w14:schemeClr w14:val="tx1"/>
            </w14:solidFill>
          </w14:textFill>
        </w:rPr>
        <w:t>突发环境事件发生后，水源地管理单位必须启动应急预案并采取应对措施，立即向当地事发地镇政府和相关部门报告。</w:t>
      </w:r>
    </w:p>
    <w:p>
      <w:pPr>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bookmarkStart w:id="348" w:name="_Toc527026556"/>
      <w:bookmarkStart w:id="349" w:name="_Toc523153527"/>
      <w:bookmarkStart w:id="350" w:name="_Toc523220096"/>
      <w:bookmarkStart w:id="351" w:name="_Toc27190"/>
      <w:r>
        <w:rPr>
          <w:rFonts w:hint="eastAsia" w:eastAsia="仿宋"/>
          <w:color w:val="000000" w:themeColor="text1"/>
          <w:kern w:val="0"/>
          <w:sz w:val="32"/>
          <w:szCs w:val="32"/>
          <w14:textFill>
            <w14:solidFill>
              <w14:schemeClr w14:val="tx1"/>
            </w14:solidFill>
          </w14:textFill>
        </w:rPr>
        <w:t>（1）对初步认定为一般（II级）突发环境事件的，区饮用水源地应急指挥部应立即以电话、短信等形式向本级人民政府和莆田市生态环境局上报，详细信息最迟在15分钟内上报。</w:t>
      </w:r>
    </w:p>
    <w:p>
      <w:pPr>
        <w:adjustRightInd w:val="0"/>
        <w:snapToGrid w:val="0"/>
        <w:spacing w:line="324" w:lineRule="auto"/>
        <w:ind w:firstLine="640" w:firstLineChars="200"/>
        <w:rPr>
          <w:rFonts w:hint="eastAsia" w:eastAsia="仿宋"/>
          <w:color w:val="000000" w:themeColor="text1"/>
          <w:kern w:val="0"/>
          <w:sz w:val="32"/>
          <w:szCs w:val="32"/>
          <w14:textFill>
            <w14:solidFill>
              <w14:schemeClr w14:val="tx1"/>
            </w14:solidFill>
          </w14:textFill>
        </w:rPr>
      </w:pPr>
      <w:bookmarkStart w:id="352" w:name="_Toc23924"/>
      <w:r>
        <w:rPr>
          <w:rFonts w:hint="eastAsia" w:eastAsia="仿宋"/>
          <w:color w:val="000000" w:themeColor="text1"/>
          <w:kern w:val="0"/>
          <w:sz w:val="32"/>
          <w:szCs w:val="32"/>
          <w14:textFill>
            <w14:solidFill>
              <w14:schemeClr w14:val="tx1"/>
            </w14:solidFill>
          </w14:textFill>
        </w:rPr>
        <w:t>（2）对初步认定为重大（I级）突发环境事件的，区饮用水源地应急指挥部应立即以电话、短信等形式向本级人民政府、上级人民政府、莆田市生态环境局、福建省生态环境厅上报。详细信息最迟在15分钟内上报。突发环境事件处置过程中事件级别发生变化的，应当按照变化后的级别报告信息。</w:t>
      </w:r>
      <w:bookmarkEnd w:id="352"/>
    </w:p>
    <w:p>
      <w:pPr>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（3）发生下列一时无法判明等级的突发环境事件时，县应急指挥部应当按照重大（I级）突发环境事件的报告程序上报：</w:t>
      </w:r>
    </w:p>
    <w:p>
      <w:pPr>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①对集中式饮用水水源保护区造成或者可能造成影响的；</w:t>
      </w:r>
    </w:p>
    <w:p>
      <w:pPr>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②涉及居民聚居区、学校、医院等敏感区域和敏感人群的；</w:t>
      </w:r>
    </w:p>
    <w:p>
      <w:pPr>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③涉及重金属或者类重金属污染的；</w:t>
      </w:r>
    </w:p>
    <w:p>
      <w:pPr>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④因环境污染引发群体性事件，或者社会影响较大的；</w:t>
      </w:r>
    </w:p>
    <w:p>
      <w:pPr>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⑤地方人民政府环境保护主管部门认为有必要报告的其他突发环境事件。</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353" w:name="_Toc16154"/>
      <w:r>
        <w:rPr>
          <w:rFonts w:hint="eastAsia" w:eastAsia="仿宋"/>
          <w:b/>
          <w:color w:val="000000" w:themeColor="text1"/>
          <w:sz w:val="32"/>
          <w:szCs w:val="32"/>
          <w14:textFill>
            <w14:solidFill>
              <w14:schemeClr w14:val="tx1"/>
            </w14:solidFill>
          </w14:textFill>
        </w:rPr>
        <w:t>3.3.3信息通报程序</w:t>
      </w:r>
      <w:bookmarkEnd w:id="346"/>
      <w:bookmarkEnd w:id="347"/>
      <w:bookmarkEnd w:id="348"/>
      <w:bookmarkEnd w:id="349"/>
      <w:bookmarkEnd w:id="350"/>
      <w:bookmarkEnd w:id="351"/>
      <w:bookmarkEnd w:id="353"/>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对经核实的水源地突发环境事件，接报的有关部门应向区政府和有关部门通报。通报的部门至少应包括区生态环境局、供水管理（</w:t>
      </w:r>
      <w:r>
        <w:rPr>
          <w:rFonts w:eastAsia="仿宋"/>
          <w:color w:val="000000" w:themeColor="text1"/>
          <w:kern w:val="0"/>
          <w:sz w:val="32"/>
          <w:szCs w:val="32"/>
          <w14:textFill>
            <w14:solidFill>
              <w14:schemeClr w14:val="tx1"/>
            </w14:solidFill>
          </w14:textFill>
        </w:rPr>
        <w:t>莆田市自来水公司、莆田市供水公司</w:t>
      </w:r>
      <w:r>
        <w:rPr>
          <w:rFonts w:hint="eastAsia" w:eastAsia="仿宋"/>
          <w:color w:val="000000" w:themeColor="text1"/>
          <w:kern w:val="0"/>
          <w:sz w:val="32"/>
          <w:szCs w:val="32"/>
          <w14:textFill>
            <w14:solidFill>
              <w14:schemeClr w14:val="tx1"/>
            </w14:solidFill>
          </w14:textFill>
        </w:rPr>
        <w:t>、华源自来水有限公司（朝阳水库）、华源自来水有限公司（院里水库）、湄洲湾自来水有限公司东海供水站（海头水库）、云峰自来水厂（红旗水库））、区卫生健康局、区水利局等部门；根据水源地突发环境事件的类型和情景，还应通报区消防支队（遇火灾事故）、区交通运输局（危险化学品道路运输事故应急处置）、区公安局、区应急管理局（遇火灾爆炸、道路运输事故）、</w:t>
      </w:r>
      <w:r>
        <w:rPr>
          <w:rFonts w:hint="eastAsia" w:eastAsia="仿宋"/>
          <w:color w:val="000000" w:themeColor="text1"/>
          <w:kern w:val="0"/>
          <w:sz w:val="32"/>
          <w:szCs w:val="32"/>
          <w:lang w:eastAsia="zh-CN"/>
          <w14:textFill>
            <w14:solidFill>
              <w14:schemeClr w14:val="tx1"/>
            </w14:solidFill>
          </w14:textFill>
        </w:rPr>
        <w:t>区自然资源局、</w:t>
      </w:r>
      <w:r>
        <w:rPr>
          <w:rFonts w:hint="eastAsia" w:eastAsia="仿宋"/>
          <w:color w:val="000000" w:themeColor="text1"/>
          <w:kern w:val="0"/>
          <w:sz w:val="32"/>
          <w:szCs w:val="32"/>
          <w14:textFill>
            <w14:solidFill>
              <w14:schemeClr w14:val="tx1"/>
            </w14:solidFill>
          </w14:textFill>
        </w:rPr>
        <w:t>区农业农村局（遇大面积死鱼）等部门。其他部门接到相关报告的，应及时通报区生态环境局。区生态环境局应通过互联网信息监测、环境污染举报热线等多种渠道，加强对突发环境事件信息的收集，及时掌握突发环境事件发生情况。</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354" w:name="_Toc6373"/>
      <w:bookmarkStart w:id="355" w:name="_Toc21475"/>
      <w:bookmarkStart w:id="356" w:name="_Toc523220097"/>
      <w:bookmarkStart w:id="357" w:name="_Toc523153528"/>
      <w:bookmarkStart w:id="358" w:name="_Toc527026557"/>
      <w:bookmarkStart w:id="359" w:name="_Toc518463490"/>
      <w:r>
        <w:rPr>
          <w:rFonts w:hint="eastAsia" w:eastAsia="仿宋"/>
          <w:b/>
          <w:color w:val="000000" w:themeColor="text1"/>
          <w:sz w:val="32"/>
          <w:szCs w:val="32"/>
          <w14:textFill>
            <w14:solidFill>
              <w14:schemeClr w14:val="tx1"/>
            </w14:solidFill>
          </w14:textFill>
        </w:rPr>
        <w:t>3.3.4信息报告和通报内容</w:t>
      </w:r>
      <w:bookmarkEnd w:id="354"/>
      <w:bookmarkEnd w:id="355"/>
      <w:bookmarkEnd w:id="356"/>
      <w:bookmarkEnd w:id="357"/>
      <w:bookmarkEnd w:id="358"/>
      <w:bookmarkEnd w:id="359"/>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按照不同的时间节点，水源地突发环境事件报告分为初报、续报和处理结果报告。初报是发现或得知突发环境事件后的首次报告；续报是查清有关基本情况、事件发展情况后的报告，可随时报告；处理结果报告是突发环境事件处理完毕后的报告。</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初报应报告水源地突发环境事件的发生时间、地点、信息来源、事件起因和性质、基本过程、主要污染物和数量、监测结果、人员伤亡情况、水源地受影响情况、事件发展趋势、处置情况、拟采取的措施以及下一步工作建议等初步情况。</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（2）续报应在初报的基础上，报告事件及有关处置措施的进展情况。</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处理结果报告应在初报、续报的基础上，报告突发环境事件的处置措施、过程和结果，突发环境事件潜在或者间接危害以及损失、社会影响、处理后的遗留问题、责任追究等详细情况。处理结果报告至少包括事件基本情况，处理事件的措施、过程和结果，事件造成的危害、损失和社会影响，处理后的遗留问题，肇事者责任追究情况五个部分。</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突发环境事件信息应采用传真、网络、邮寄或面呈等方式书面报告，情况紧急时，初报应通过传真、手机短信、电话方式报送，通过手机短信或电话等形式报送的，应当及时补充书面报告。书面报告应说明突发环境事件报告单位、报告签发人、联系人及联系电话等内容，并尽可能提供地图、图片以及有关的多媒体资料。</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城厢区水源地突发环境事件信息报送内容见附件7。</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360" w:name="_Toc523219596"/>
      <w:bookmarkStart w:id="361" w:name="_Toc17215"/>
      <w:bookmarkStart w:id="362" w:name="_Toc523153529"/>
      <w:bookmarkStart w:id="363" w:name="_Toc523220098"/>
      <w:bookmarkStart w:id="364" w:name="_Toc522893238"/>
      <w:bookmarkStart w:id="365" w:name="_Toc529453267"/>
      <w:bookmarkStart w:id="366" w:name="_Toc529453113"/>
      <w:bookmarkStart w:id="367" w:name="_Toc528234249"/>
      <w:bookmarkStart w:id="368" w:name="_Toc523223355"/>
      <w:bookmarkStart w:id="369" w:name="_Toc16337"/>
      <w:bookmarkStart w:id="370" w:name="_Toc527026558"/>
      <w:bookmarkStart w:id="371" w:name="_Toc523223895"/>
      <w:bookmarkStart w:id="372" w:name="_Toc21487"/>
      <w:bookmarkStart w:id="373" w:name="_Toc523219307"/>
      <w:bookmarkStart w:id="374" w:name="_Toc26251"/>
      <w:r>
        <w:rPr>
          <w:rFonts w:hint="eastAsia" w:eastAsia="仿宋"/>
          <w:b/>
          <w:color w:val="000000" w:themeColor="text1"/>
          <w:sz w:val="32"/>
          <w:szCs w:val="32"/>
          <w14:textFill>
            <w14:solidFill>
              <w14:schemeClr w14:val="tx1"/>
            </w14:solidFill>
          </w14:textFill>
        </w:rPr>
        <w:t>3.4事态研判</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发布预警后，现场应急指挥部迅速组建参加应急指挥的各个工作组，跟踪开展事态研判。专家组及相关应急工作组成员应根据事故点下游沿河水利设施工程情况、判断污染物进入河流的数量及种类性质、事故点下游水系分布（包括清洁水情况）、发生水华的水域面积及程度、距离水源地取水口的距离和可能对水源地造成的危害，以及备用水源地情况，判定污染程度、危害范围、事件等级，提出相应的对策和意见；指导应急队伍进行应急处置；对突发环境事件的危害范围、发展趋势做出科学预测。</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事态研判的结果，应作为制定和动态调整应急响应有关方案、实施应急监测、污染源排查与处置和应急处置的重要基础。</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375" w:name="_Toc1871"/>
      <w:bookmarkStart w:id="376" w:name="_Toc527026559"/>
      <w:bookmarkStart w:id="377" w:name="_Toc20762"/>
      <w:bookmarkStart w:id="378" w:name="_Toc523223356"/>
      <w:bookmarkStart w:id="379" w:name="_Toc523219308"/>
      <w:bookmarkStart w:id="380" w:name="_Toc529453114"/>
      <w:bookmarkStart w:id="381" w:name="_Toc523223896"/>
      <w:bookmarkStart w:id="382" w:name="_Toc523219597"/>
      <w:bookmarkStart w:id="383" w:name="_Toc529453268"/>
      <w:bookmarkStart w:id="384" w:name="_Toc16688"/>
      <w:bookmarkStart w:id="385" w:name="_Toc523220099"/>
      <w:bookmarkStart w:id="386" w:name="_Toc523153530"/>
      <w:bookmarkStart w:id="387" w:name="_Toc29239"/>
      <w:bookmarkStart w:id="388" w:name="_Toc522893239"/>
      <w:bookmarkStart w:id="389" w:name="_Toc528234250"/>
      <w:r>
        <w:rPr>
          <w:rFonts w:hint="eastAsia" w:eastAsia="仿宋"/>
          <w:b/>
          <w:color w:val="000000" w:themeColor="text1"/>
          <w:sz w:val="32"/>
          <w:szCs w:val="32"/>
          <w14:textFill>
            <w14:solidFill>
              <w14:schemeClr w14:val="tx1"/>
            </w14:solidFill>
          </w14:textFill>
        </w:rPr>
        <w:t>3.5应急监测</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生态环境局委托莆田市环境监测中心站或第三方监测机构开展水源地应急监测工作、区卫生健康局负责自来水水质监测工作。水源地突发环境事件发生时，根据事件的严重性、紧急程度和可能波及的范围分级启动应急监测工作，查明污染物种类、污染程度、范围以及污染发展趋势，提出处理建议，为应急处置提供决策依据。</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市环境监测站、区水利局</w:t>
      </w:r>
      <w:r>
        <w:rPr>
          <w:rFonts w:hint="eastAsia" w:eastAsia="仿宋"/>
          <w:color w:val="000000" w:themeColor="text1"/>
          <w:kern w:val="0"/>
          <w:sz w:val="32"/>
          <w:szCs w:val="32"/>
          <w:lang w:eastAsia="zh-CN"/>
          <w14:textFill>
            <w14:solidFill>
              <w14:schemeClr w14:val="tx1"/>
            </w14:solidFill>
          </w14:textFill>
        </w:rPr>
        <w:t>水利股</w:t>
      </w:r>
      <w:r>
        <w:rPr>
          <w:rFonts w:hint="eastAsia" w:eastAsia="仿宋"/>
          <w:color w:val="000000" w:themeColor="text1"/>
          <w:kern w:val="0"/>
          <w:sz w:val="32"/>
          <w:szCs w:val="32"/>
          <w14:textFill>
            <w14:solidFill>
              <w14:schemeClr w14:val="tx1"/>
            </w14:solidFill>
          </w14:textFill>
        </w:rPr>
        <w:t>、相关自来水厂负责组织供水水质的应急监测工作。判定水源地污染事件发生后对其供水质量的危害程度以及受影响的范围，向现场应急指挥部报告。</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390" w:name="_Toc518463493"/>
      <w:bookmarkStart w:id="391" w:name="_Toc523220100"/>
      <w:bookmarkStart w:id="392" w:name="_Toc24872"/>
      <w:bookmarkStart w:id="393" w:name="_Toc9170"/>
      <w:bookmarkStart w:id="394" w:name="_Toc523153531"/>
      <w:bookmarkStart w:id="395" w:name="_Toc527026560"/>
      <w:bookmarkStart w:id="396" w:name="_Toc31473"/>
      <w:r>
        <w:rPr>
          <w:rFonts w:hint="eastAsia" w:eastAsia="仿宋"/>
          <w:b/>
          <w:color w:val="000000" w:themeColor="text1"/>
          <w:sz w:val="32"/>
          <w:szCs w:val="32"/>
          <w14:textFill>
            <w14:solidFill>
              <w14:schemeClr w14:val="tx1"/>
            </w14:solidFill>
          </w14:textFill>
        </w:rPr>
        <w:t>3.5.1开展应急监测程序</w:t>
      </w:r>
      <w:bookmarkEnd w:id="390"/>
      <w:bookmarkEnd w:id="391"/>
      <w:bookmarkEnd w:id="392"/>
      <w:bookmarkEnd w:id="393"/>
      <w:bookmarkEnd w:id="394"/>
      <w:bookmarkEnd w:id="395"/>
      <w:bookmarkEnd w:id="396"/>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事件处置初期，应按照现场应急指挥部命令，根据现场实际情况制定监测方案、设置监测点位（断面）、确定监测频次、组织开展监测、形成监测报告，第一时间向现场应急指挥部报告监测结果。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事件处置中期，应根据事态发展，如上游来水量、应急处置措施效果等情况，适时调整监测点位（断面）和监测频次。</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事件处置末期，应按照现场应急指挥部命令，停止应急监测，并向现场应急指挥部提交应急监测总结报告。</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397" w:name="_Toc19230"/>
      <w:bookmarkStart w:id="398" w:name="_Toc11324"/>
      <w:bookmarkStart w:id="399" w:name="_Toc28861"/>
      <w:bookmarkStart w:id="400" w:name="_Toc527026561"/>
      <w:bookmarkStart w:id="401" w:name="_Toc523220101"/>
      <w:bookmarkStart w:id="402" w:name="_Toc523153532"/>
      <w:bookmarkStart w:id="403" w:name="_Toc518463494"/>
      <w:r>
        <w:rPr>
          <w:rFonts w:hint="eastAsia" w:eastAsia="仿宋"/>
          <w:b/>
          <w:color w:val="000000" w:themeColor="text1"/>
          <w:sz w:val="32"/>
          <w:szCs w:val="32"/>
          <w14:textFill>
            <w14:solidFill>
              <w14:schemeClr w14:val="tx1"/>
            </w14:solidFill>
          </w14:textFill>
        </w:rPr>
        <w:t>3.5.2制定应急监测方案</w:t>
      </w:r>
      <w:bookmarkEnd w:id="397"/>
      <w:bookmarkEnd w:id="398"/>
      <w:bookmarkEnd w:id="399"/>
      <w:bookmarkEnd w:id="400"/>
      <w:bookmarkEnd w:id="401"/>
      <w:bookmarkEnd w:id="402"/>
      <w:bookmarkEnd w:id="403"/>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由</w:t>
      </w:r>
      <w:r>
        <w:rPr>
          <w:rFonts w:hint="eastAsia" w:eastAsia="仿宋"/>
          <w:color w:val="000000" w:themeColor="text1"/>
          <w:kern w:val="0"/>
          <w:sz w:val="32"/>
          <w:szCs w:val="32"/>
          <w:lang w:eastAsia="zh-CN"/>
          <w14:textFill>
            <w14:solidFill>
              <w14:schemeClr w14:val="tx1"/>
            </w14:solidFill>
          </w14:textFill>
        </w:rPr>
        <w:t>区生态环境局</w:t>
      </w:r>
      <w:r>
        <w:rPr>
          <w:rFonts w:hint="eastAsia" w:eastAsia="仿宋"/>
          <w:color w:val="000000" w:themeColor="text1"/>
          <w:kern w:val="0"/>
          <w:sz w:val="32"/>
          <w:szCs w:val="32"/>
          <w:lang w:val="zh-CN" w:eastAsia="zh-CN"/>
          <w14:textFill>
            <w14:solidFill>
              <w14:schemeClr w14:val="tx1"/>
            </w14:solidFill>
          </w14:textFill>
        </w:rPr>
        <w:t>、卫生健康局</w:t>
      </w:r>
      <w:r>
        <w:rPr>
          <w:rFonts w:hint="eastAsia" w:eastAsia="仿宋"/>
          <w:color w:val="000000" w:themeColor="text1"/>
          <w:kern w:val="0"/>
          <w:sz w:val="32"/>
          <w:szCs w:val="32"/>
          <w:lang w:eastAsia="zh-CN"/>
          <w14:textFill>
            <w14:solidFill>
              <w14:schemeClr w14:val="tx1"/>
            </w14:solidFill>
          </w14:textFill>
        </w:rPr>
        <w:t>负责</w:t>
      </w:r>
      <w:r>
        <w:rPr>
          <w:rFonts w:hint="eastAsia" w:eastAsia="仿宋"/>
          <w:color w:val="000000" w:themeColor="text1"/>
          <w:kern w:val="0"/>
          <w:sz w:val="32"/>
          <w:szCs w:val="32"/>
          <w14:textFill>
            <w14:solidFill>
              <w14:schemeClr w14:val="tx1"/>
            </w14:solidFill>
          </w14:textFill>
        </w:rPr>
        <w:t>制定应急监测方案，区卫生健康局、区水利局、相关自来水厂和相关企事业单位监测机构配合，现场应急工作组负责组织、实施、协调，在发生水源地突发环境事件时第一时间根据现场实际情况制定监测方案。</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应急监测原则和注意事项包括但不限于以下内容：</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（1）监测范围。应尽量涵盖水源地突发环境事件的污染范围，并包括事件可能影响区域和污染物本底浓度的监测区域。</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监测布点和频次。以突发环境事件发生地点为中心或源头，结合水文和气象条件，在其扩散方向及可能受到影响的水源地位置合理布点，必要时在事故影响区域内水源取水口、农灌区取水口处设置监测点位（断面）。应采取不同点位（断面）相同间隔时间（视实际情况而定）同步采样监测方式，动态监控污染带移动过程。</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①针对固定源突发环境事件，应对固定源排放口附近水域、下游水源地附近水域进行加密跟踪监测；</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②针对流动源、非点源突发环境事件，应对事发区域下游水域、下游水源地附近进行加密跟踪监测；</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③水华灾害突发事件若发生在一级、二级保护区范围，应对取水口不同水层进行加密跟踪监测。</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（3）现场采样。应制定采样计划和准备采样器材。采样量应同时满足快速监测、实验室监测和留样的需要。采样频次应考虑污染程度和现场水文条件，按照应急专家组的意见确定。</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4）监测项目。通过现场信息收集、信息研判、代表性样品分析等途径，确定主要污染物及监测项目。监测项目应考虑主要污染物在环境中可能产生的化学反应、衍生成其他有毒有害物质，有条件的地区可同时开展水生生物指标的监测，为后期损害评估提供第一手资料。</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（5）分析方法。具备现场监测条件的监测项目，应尽量在现场监测。必要时，备份样品送实验室监（复）测，以确认现场定性或定量监测结果的准确性。</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（6）监测结果与数据报告。应按照有关监测技术规范进行数据处理。监测结果可用定性、半定量或定量方式报出。监测结果可采用电话、传真、快报、简报、监测报告等形式第一时间报告现场应急指挥部。</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（7）监测数据的质量保证。应急监测过程中的样品采集、现场监测、实验室监测、数据统计等环节，都应有质量控制措施，并对应急监测报告严格按要求审核。</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404" w:name="_Toc529453115"/>
      <w:bookmarkStart w:id="405" w:name="_Toc523223357"/>
      <w:bookmarkStart w:id="406" w:name="_Toc527026562"/>
      <w:bookmarkStart w:id="407" w:name="_Toc523223897"/>
      <w:bookmarkStart w:id="408" w:name="_Toc523219598"/>
      <w:bookmarkStart w:id="409" w:name="_Toc522893240"/>
      <w:bookmarkStart w:id="410" w:name="_Toc523220102"/>
      <w:bookmarkStart w:id="411" w:name="_Toc23403"/>
      <w:bookmarkStart w:id="412" w:name="_Toc523153533"/>
      <w:bookmarkStart w:id="413" w:name="_Toc528234251"/>
      <w:bookmarkStart w:id="414" w:name="_Toc28927"/>
      <w:bookmarkStart w:id="415" w:name="_Toc523219309"/>
      <w:bookmarkStart w:id="416" w:name="_Toc529453269"/>
      <w:bookmarkStart w:id="417" w:name="_Toc32197"/>
      <w:bookmarkStart w:id="418" w:name="_Toc4233"/>
      <w:r>
        <w:rPr>
          <w:rFonts w:hint="eastAsia" w:eastAsia="仿宋"/>
          <w:b/>
          <w:color w:val="000000" w:themeColor="text1"/>
          <w:sz w:val="32"/>
          <w:szCs w:val="32"/>
          <w14:textFill>
            <w14:solidFill>
              <w14:schemeClr w14:val="tx1"/>
            </w14:solidFill>
          </w14:textFill>
        </w:rPr>
        <w:t>3.6污染源排查与处置</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419" w:name="_Toc14822"/>
      <w:bookmarkStart w:id="420" w:name="_Toc523220103"/>
      <w:bookmarkStart w:id="421" w:name="_Toc527026563"/>
      <w:bookmarkStart w:id="422" w:name="_Toc523153534"/>
      <w:bookmarkStart w:id="423" w:name="_Toc518463496"/>
      <w:bookmarkStart w:id="424" w:name="_Toc4524"/>
      <w:bookmarkStart w:id="425" w:name="_Toc31709"/>
      <w:r>
        <w:rPr>
          <w:rFonts w:hint="eastAsia" w:eastAsia="仿宋"/>
          <w:b/>
          <w:color w:val="000000" w:themeColor="text1"/>
          <w:sz w:val="32"/>
          <w:szCs w:val="32"/>
          <w14:textFill>
            <w14:solidFill>
              <w14:schemeClr w14:val="tx1"/>
            </w14:solidFill>
          </w14:textFill>
        </w:rPr>
        <w:t>3.6.1明确排查对象</w:t>
      </w:r>
      <w:bookmarkEnd w:id="419"/>
      <w:bookmarkEnd w:id="420"/>
      <w:bookmarkEnd w:id="421"/>
      <w:bookmarkEnd w:id="422"/>
      <w:bookmarkEnd w:id="423"/>
      <w:bookmarkEnd w:id="424"/>
      <w:bookmarkEnd w:id="425"/>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当水质监测发现异常、污染物来源不确定时，应急处置组应根据特征污染物种类、浓度变化、释放总量、释放路径、释放时间，以及当时的水文和气象条件，迅速组织开展污染源排查。</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针对不同类型污染物的排查重点和对象如下：</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（1）有机类污染：重点排查生活污水处理设施、工业企业，调查污水处理设施运行、尾水排放的异常情况。</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营养盐类污染：重点排查生活污水处理设施、工业企业、畜禽养殖场（户）、农田种植户、农村居民点、医疗场所等，调查污水处理设施运行、养殖废物处理处置、农药化肥施用、农村生活污染、医疗废水处理及消毒设施的异常情况。</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（3）细菌类污染：重点排查生活污水处理设施、畜禽养殖场（户）、农村居民点，调查污水处理设施运行、养殖废物处理处置、医疗场所、农村生活污染的异常情况。</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（4）农药类污染：重点排查果园种植园（户）、农田种植户、农灌退水排放口，调查农药施用和流失的异常情况。</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（5）石油类污染：重点排查运输车辆、加工和存贮的工业企业，调查上述企业和单位的异常情况。</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（6）重金属及其他有毒有害物质污染：重点排查危化品运输车辆。</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426" w:name="_Toc523153535"/>
      <w:bookmarkStart w:id="427" w:name="_Toc518463497"/>
      <w:bookmarkStart w:id="428" w:name="_Toc11774"/>
      <w:bookmarkStart w:id="429" w:name="_Toc527026564"/>
      <w:bookmarkStart w:id="430" w:name="_Toc14194"/>
      <w:bookmarkStart w:id="431" w:name="_Toc523220104"/>
      <w:bookmarkStart w:id="432" w:name="_Toc13887"/>
      <w:r>
        <w:rPr>
          <w:rFonts w:hint="eastAsia" w:eastAsia="仿宋"/>
          <w:b/>
          <w:color w:val="000000" w:themeColor="text1"/>
          <w:sz w:val="32"/>
          <w:szCs w:val="32"/>
          <w14:textFill>
            <w14:solidFill>
              <w14:schemeClr w14:val="tx1"/>
            </w14:solidFill>
          </w14:textFill>
        </w:rPr>
        <w:t>3.6.2切断污染源</w:t>
      </w:r>
      <w:bookmarkEnd w:id="426"/>
      <w:bookmarkEnd w:id="427"/>
      <w:bookmarkEnd w:id="428"/>
      <w:bookmarkEnd w:id="429"/>
      <w:bookmarkEnd w:id="430"/>
      <w:bookmarkEnd w:id="431"/>
      <w:bookmarkEnd w:id="432"/>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应急处置组负责对水源地应急预案适用地域范围内的污染源实施切断；对水源地应急预案适用地域范围外的污染源，按有关突发环境事件应急预案要求进行处置。</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处置措施主要采取切断污染源、收集和围堵污染物等，包括但不限于以下内容：</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（1）对发生非正常排放或有毒有害物质泄漏的固定源突发环境事件，应尽快采取关闭、封堵、收集、转移等措施，切断污染源或泄漏源。</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（2）对道路交通运输过程中发生的流动源突发事件，可启动路面系统的导流槽、应急池或紧急设置围堰、闸坝拦截、油毡吸附、围油栏等方式，对污染源进行围堵并收集污染物。</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（3）启动应急收集系统集中收集陆域污染物，设立拦截设施，防止污染物在陆域漫延，组织有关部门对污染物进行回收处置。</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（4）根据现场事态发展对扩散至水体的污染物进行处置。</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433" w:name="_Toc523219310"/>
      <w:bookmarkStart w:id="434" w:name="_Toc727"/>
      <w:bookmarkStart w:id="435" w:name="_Toc523223358"/>
      <w:bookmarkStart w:id="436" w:name="_Toc14852"/>
      <w:bookmarkStart w:id="437" w:name="_Toc528234252"/>
      <w:bookmarkStart w:id="438" w:name="_Toc523153536"/>
      <w:bookmarkStart w:id="439" w:name="_Toc529453270"/>
      <w:bookmarkStart w:id="440" w:name="_Toc529453116"/>
      <w:bookmarkStart w:id="441" w:name="_Toc20785"/>
      <w:bookmarkStart w:id="442" w:name="_Toc527026565"/>
      <w:bookmarkStart w:id="443" w:name="_Toc522893241"/>
      <w:bookmarkStart w:id="444" w:name="_Toc523219599"/>
      <w:bookmarkStart w:id="445" w:name="_Toc11140"/>
      <w:bookmarkStart w:id="446" w:name="_Toc523220105"/>
      <w:bookmarkStart w:id="447" w:name="_Toc523223898"/>
      <w:r>
        <w:rPr>
          <w:rFonts w:hint="eastAsia" w:eastAsia="仿宋"/>
          <w:b/>
          <w:color w:val="000000" w:themeColor="text1"/>
          <w:sz w:val="32"/>
          <w:szCs w:val="32"/>
          <w14:textFill>
            <w14:solidFill>
              <w14:schemeClr w14:val="tx1"/>
            </w14:solidFill>
          </w14:textFill>
        </w:rPr>
        <w:t>3.7应急处置</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448" w:name="_Toc29662"/>
      <w:bookmarkStart w:id="449" w:name="_Toc527026566"/>
      <w:bookmarkStart w:id="450" w:name="_Toc518463499"/>
      <w:bookmarkStart w:id="451" w:name="_Toc14016"/>
      <w:bookmarkStart w:id="452" w:name="_Toc17350"/>
      <w:bookmarkStart w:id="453" w:name="_Toc523153537"/>
      <w:bookmarkStart w:id="454" w:name="_Toc523220106"/>
      <w:r>
        <w:rPr>
          <w:rFonts w:hint="eastAsia" w:eastAsia="仿宋"/>
          <w:b/>
          <w:color w:val="000000" w:themeColor="text1"/>
          <w:sz w:val="32"/>
          <w:szCs w:val="32"/>
          <w14:textFill>
            <w14:solidFill>
              <w14:schemeClr w14:val="tx1"/>
            </w14:solidFill>
          </w14:textFill>
        </w:rPr>
        <w:t>3.7.1制定现场处置方案</w:t>
      </w:r>
      <w:bookmarkEnd w:id="448"/>
      <w:bookmarkEnd w:id="449"/>
      <w:bookmarkEnd w:id="450"/>
      <w:bookmarkEnd w:id="451"/>
      <w:bookmarkEnd w:id="452"/>
      <w:bookmarkEnd w:id="453"/>
      <w:bookmarkEnd w:id="454"/>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bookmarkStart w:id="455" w:name="_Toc12339"/>
      <w:bookmarkStart w:id="456" w:name="_Toc518463500"/>
      <w:r>
        <w:rPr>
          <w:rFonts w:hint="eastAsia" w:eastAsia="仿宋"/>
          <w:color w:val="000000" w:themeColor="text1"/>
          <w:kern w:val="0"/>
          <w:sz w:val="32"/>
          <w:szCs w:val="32"/>
          <w14:textFill>
            <w14:solidFill>
              <w14:schemeClr w14:val="tx1"/>
            </w14:solidFill>
          </w14:textFill>
        </w:rPr>
        <w:t>现场处置方案由现场应急指挥部制订，现场处置要立足于彻底消除污染危害，避免遗留后患，依靠科技和专家力量，尽可能控制和缩小已排出污染物的扩散、漫延范围，把水源地突发环境事件危害降低到最小程度。</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（1）应急处置组及应急监测组迅速赶赴现场鉴定、识别、核实造成污染的种类、性质、污染方式、危害程度及受影响范围和边界，判明事件的性质和危害程度。</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（2）应急处置组采取一切控制措施如切断泄漏源、关闭闸门、设置围堰、打捞污染物、调水引流、人工增雨、水体增氧等减小或消除污染物污染的范围、程度。</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当确定饮用水水源受污染时，应急供水保障组适时启动供水应急预案，及时调整水处理工艺，强化水处理工艺的净化效果。保障出厂自来水水质达标，必要时采取联网供水、限水、停水、减压供水、改路供水等特殊处理措施，启用应急备用水源地，使用地下水应急供水、供应纯净水等措施保证饮用水安全。</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4）当水源保护区水污染危及人群健康时，综合组加强疾病预防控制工作，对因饮用水源污染可能导致的疾病、疫情进行应急处置；做好污染区域的现场保护、隔离、交通疏导和人员疏散；把握全区的舆论导向，指导各新闻单位做好相关报道工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（5）应急物资保障组保证应急物资和经费及时到位。根据突发事件应急处置需要，协调各镇政府及区水利局、区卫生健康局等相关部门及时调集应急物资和筹集应急经费。</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现场处置方案包括但不限于以下内容：应急监测、污染处置措施、物资调集、应急队伍和人员安排、供水单位应对等。</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根据污染特征，水源地突发环境事件的污染处置措施如下：</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水华灾害突发事件。对一级、二级水源保护区的水华发生区域，采取物理方法减少和控制藻类增长；有条件的，可采用生态调水的方式，通过增加水体扰动控制水华灾害。藻类污染物的处理一般需要综合处置，对于藻类细胞本身，可以通过改性黏土吸附沉降或者利用构筑物气浮等物理手段去除，也应通过预氧化对藻类细胞灭活的方式去除，对嗅味物质、藻毒素等藻类代谢产物，宜采取氯、高锰酸钾、过氧化氢等氧化与粉末活性炭吸附单独或组合使用进行控制。</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水体内污染物治理、总量或浓度削减。根据应急专家组等意见，制定综合处置方案，经现场应急指挥部确认后实施。采取隔离、吸附、打捞、扰动等物理方法，氧化、沉淀等化学方法，或利用上游调水等稀释方法，可以采取一种或多种方式，力争短时间内削减污染物浓度。现场应急指挥部可根据需要，对水源地汇水区域内的污染物排放企业实施停产、减产、限产等措施，削减水域污染物总量或浓度。</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应急工程设施拦截污染水体。在河道内启用或修建拦截坝、节制闸等工程设施拦截污染水体；通过导流渠将未受污染水体导流至污染水体下游，通过分流沟将污染水体分流至水源保护区外进行收集处置；利用前置库、缓冲池等工程设施，降低污染水体的污染物浓度，为应急处置争取时间。针对污染物可采取的物理、化学、生物处理技术见附件8。</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457" w:name="_Toc527026567"/>
      <w:bookmarkStart w:id="458" w:name="_Toc32516"/>
      <w:bookmarkStart w:id="459" w:name="_Toc523220107"/>
      <w:bookmarkStart w:id="460" w:name="_Toc1425"/>
      <w:bookmarkStart w:id="461" w:name="_Toc523153538"/>
      <w:r>
        <w:rPr>
          <w:rFonts w:hint="eastAsia" w:eastAsia="仿宋"/>
          <w:b/>
          <w:color w:val="000000" w:themeColor="text1"/>
          <w:sz w:val="32"/>
          <w:szCs w:val="32"/>
          <w14:textFill>
            <w14:solidFill>
              <w14:schemeClr w14:val="tx1"/>
            </w14:solidFill>
          </w14:textFill>
        </w:rPr>
        <w:t>3.7.2供水安全保障</w:t>
      </w:r>
      <w:bookmarkEnd w:id="457"/>
      <w:bookmarkEnd w:id="458"/>
      <w:bookmarkEnd w:id="459"/>
      <w:bookmarkEnd w:id="460"/>
      <w:bookmarkEnd w:id="461"/>
    </w:p>
    <w:bookmarkEnd w:id="455"/>
    <w:bookmarkEnd w:id="456"/>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bookmarkStart w:id="462" w:name="_Toc6563"/>
      <w:bookmarkStart w:id="463" w:name="_Toc527026569"/>
      <w:bookmarkStart w:id="464" w:name="_Toc523223899"/>
      <w:bookmarkStart w:id="465" w:name="_Toc529453117"/>
      <w:bookmarkStart w:id="466" w:name="_Toc523220109"/>
      <w:bookmarkStart w:id="467" w:name="_Toc522893242"/>
      <w:bookmarkStart w:id="468" w:name="_Toc21261"/>
      <w:bookmarkStart w:id="469" w:name="_Toc523223359"/>
      <w:bookmarkStart w:id="470" w:name="_Toc5225"/>
      <w:bookmarkStart w:id="471" w:name="_Toc523219311"/>
      <w:bookmarkStart w:id="472" w:name="_Toc523219600"/>
      <w:bookmarkStart w:id="473" w:name="_Toc529453271"/>
      <w:bookmarkStart w:id="474" w:name="_Toc523153540"/>
      <w:bookmarkStart w:id="475" w:name="_Toc528234253"/>
      <w:r>
        <w:rPr>
          <w:rFonts w:hint="eastAsia" w:eastAsia="仿宋"/>
          <w:color w:val="000000" w:themeColor="text1"/>
          <w:kern w:val="0"/>
          <w:sz w:val="32"/>
          <w:szCs w:val="32"/>
          <w14:textFill>
            <w14:solidFill>
              <w14:schemeClr w14:val="tx1"/>
            </w14:solidFill>
          </w14:textFill>
        </w:rPr>
        <w:t>当确定饮用水水源受污染时，区水利局应立即通知（</w:t>
      </w:r>
      <w:r>
        <w:rPr>
          <w:rFonts w:eastAsia="仿宋"/>
          <w:color w:val="000000" w:themeColor="text1"/>
          <w:kern w:val="0"/>
          <w:sz w:val="32"/>
          <w:szCs w:val="32"/>
          <w14:textFill>
            <w14:solidFill>
              <w14:schemeClr w14:val="tx1"/>
            </w14:solidFill>
          </w14:textFill>
        </w:rPr>
        <w:t>莆田市自来水公司、莆田市供水公司</w:t>
      </w:r>
      <w:r>
        <w:rPr>
          <w:rFonts w:hint="eastAsia" w:eastAsia="仿宋"/>
          <w:color w:val="000000" w:themeColor="text1"/>
          <w:kern w:val="0"/>
          <w:sz w:val="32"/>
          <w:szCs w:val="32"/>
          <w14:textFill>
            <w14:solidFill>
              <w14:schemeClr w14:val="tx1"/>
            </w14:solidFill>
          </w14:textFill>
        </w:rPr>
        <w:t>、华源自来水有限公司（朝阳水库）、华源自来水有限公司（院里水库）、湄洲湾自来水有限公司东海供水站（海头水库）、云峰自来水厂（红旗水库））迅速采取措施，及时调整水处理工艺，强化水处理工艺的净化效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应急监测或事态研判过程中，发现或判定污染物已扩散至饮用水水源地，制定的方案中要求停止取水，或原水污染以现有净化工艺不能控制时，制水厂应及时上报建议停止供水，启动临时供水措施，使用应急输供水车等设施保障居民用水，并加强事故泄漏污染物监测，通过各种媒体通告居民在事故未解除前，不得饮用污染的水。</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476" w:name="_Toc15513"/>
      <w:r>
        <w:rPr>
          <w:rFonts w:hint="eastAsia" w:eastAsia="仿宋"/>
          <w:b/>
          <w:color w:val="000000" w:themeColor="text1"/>
          <w:sz w:val="32"/>
          <w:szCs w:val="32"/>
          <w14:textFill>
            <w14:solidFill>
              <w14:schemeClr w14:val="tx1"/>
            </w14:solidFill>
          </w14:textFill>
        </w:rPr>
        <w:t>3.8物资调集及应急设施启用</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相关职能部门应根据不同类别的水源地突发环境事件加强本辖区内应急救援物资的生产、储存、调拨体系建设。</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现场应急指挥部根据处置方案调集应急物资、应急装备并启用相应的应急设施。</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应急物资、装备和设施包括但不限于以下内容：</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（1）对水体内污染物进行打捞和拦截的物资、装备和设施，如救援打捞设备、油毡、围油栏、筑坝材料、溢出控制装备等。</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（2）控制和消除污染物的物资、装备和设施，如中和剂、灭火剂、解毒剂、吸收剂等。</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（3）移除和拦截移动源的装备和设施，如吊车、临时围堰、导流槽、应急池等。</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（4）雨水口垃圾清运和拦截的装备和设施，如格栅、清运车、临时设置的导流槽等。</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（5）针对水华灾害，消除有毒有害物质产生条件、清除藻类的物资、装备和设施，如增氧机、除草船等。</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（6）对污染物进行拦截、导流、分流及降解的应急工程设施，如拦截坝、节制闸、导流渠、分流沟、前置库等。</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具体应急物资库存情况、物资调集人员姓名及联系方式详见附件10。</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477" w:name="_Toc523223900"/>
      <w:bookmarkStart w:id="478" w:name="_Toc527026570"/>
      <w:bookmarkStart w:id="479" w:name="_Toc523219312"/>
      <w:bookmarkStart w:id="480" w:name="_Toc523223360"/>
      <w:bookmarkStart w:id="481" w:name="_Toc14753"/>
      <w:bookmarkStart w:id="482" w:name="_Toc6439"/>
      <w:bookmarkStart w:id="483" w:name="_Toc22673"/>
      <w:bookmarkStart w:id="484" w:name="_Toc529453272"/>
      <w:bookmarkStart w:id="485" w:name="_Toc528234254"/>
      <w:bookmarkStart w:id="486" w:name="_Toc19248"/>
      <w:bookmarkStart w:id="487" w:name="_Toc523219601"/>
      <w:bookmarkStart w:id="488" w:name="_Toc523153541"/>
      <w:bookmarkStart w:id="489" w:name="_Toc529453118"/>
      <w:bookmarkStart w:id="490" w:name="_Toc522893243"/>
      <w:bookmarkStart w:id="491" w:name="_Toc523220110"/>
      <w:r>
        <w:rPr>
          <w:rFonts w:hint="eastAsia" w:eastAsia="仿宋"/>
          <w:b/>
          <w:color w:val="000000" w:themeColor="text1"/>
          <w:sz w:val="32"/>
          <w:szCs w:val="32"/>
          <w14:textFill>
            <w14:solidFill>
              <w14:schemeClr w14:val="tx1"/>
            </w14:solidFill>
          </w14:textFill>
        </w:rPr>
        <w:t>3.9舆情监测与信息发布</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现场应急指挥部在水源地突发环境事件发生后，应第一时间借助电视、广播、报纸、互联网、微信、公众告知等多种途径，主动、及时、准确、客观地向社会及时准确发布事态最新情况，公布咨询电话，组织专家解读；加强相关舆情监测，回应社会关切，澄清不实信息，做好舆论引导工作；并针对舆情及时发布事件原因、污染程度、影响区域、已采取的措施及成效、公众应注意的防范措施、热线电话等。</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492" w:name="_Toc11262"/>
      <w:bookmarkStart w:id="493" w:name="_Toc22048"/>
      <w:r>
        <w:rPr>
          <w:rFonts w:hint="eastAsia" w:eastAsia="仿宋"/>
          <w:b/>
          <w:color w:val="000000" w:themeColor="text1"/>
          <w:sz w:val="32"/>
          <w:szCs w:val="32"/>
          <w14:textFill>
            <w14:solidFill>
              <w14:schemeClr w14:val="tx1"/>
            </w14:solidFill>
          </w14:textFill>
        </w:rPr>
        <w:t>3.9.1发布的主要内容</w:t>
      </w:r>
      <w:bookmarkEnd w:id="492"/>
      <w:bookmarkEnd w:id="493"/>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（1）发生事故的单位名称和地址。</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（2）事件发生时间或预期持续时间。</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（3）事件类型（分为固定源、流动源、非点源和水华灾害等突发环境事件）、起因和性质。</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（4）事件影响的当前状况和发展趋势，已采取的措施。</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（5）提请公众应注意的防范措施，紧急情况的热线电话及其它必要信息。</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494" w:name="_Toc528234255"/>
      <w:bookmarkStart w:id="495" w:name="_Toc17881"/>
      <w:bookmarkStart w:id="496" w:name="_Toc529453119"/>
      <w:bookmarkStart w:id="497" w:name="_Toc527026571"/>
      <w:bookmarkStart w:id="498" w:name="_Toc523223901"/>
      <w:bookmarkStart w:id="499" w:name="_Toc26384"/>
      <w:bookmarkStart w:id="500" w:name="_Toc523223361"/>
      <w:bookmarkStart w:id="501" w:name="_Toc523219602"/>
      <w:bookmarkStart w:id="502" w:name="_Toc15694"/>
      <w:bookmarkStart w:id="503" w:name="_Toc522893244"/>
      <w:bookmarkStart w:id="504" w:name="_Toc523220111"/>
      <w:bookmarkStart w:id="505" w:name="_Toc523219313"/>
      <w:bookmarkStart w:id="506" w:name="_Toc523153542"/>
      <w:bookmarkStart w:id="507" w:name="_Toc529453273"/>
      <w:bookmarkStart w:id="508" w:name="_Toc26714"/>
      <w:r>
        <w:rPr>
          <w:rFonts w:hint="eastAsia" w:eastAsia="仿宋"/>
          <w:b/>
          <w:color w:val="000000" w:themeColor="text1"/>
          <w:sz w:val="32"/>
          <w:szCs w:val="32"/>
          <w14:textFill>
            <w14:solidFill>
              <w14:schemeClr w14:val="tx1"/>
            </w14:solidFill>
          </w14:textFill>
        </w:rPr>
        <w:t>3.10响应终止</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当符合下列情形之一的，由现场应急指挥部提出建议，并报经区饮用水源地应急指挥部同意后，由区饮用水源地应急办通过电视、广播、报纸、互联网、微信等渠道向受影响的区域或群众发布应急响应终止。</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（1）进入水源保护区陆域范围的污染物已成功围堵，且清运至水源保护区外，未向水域扩散时。</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（2）进入水源保护区水域范围的污染团已成功拦截或导流至水源保护区外，没有向取水口扩散的风险，且水质监测结果稳定达标。</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（3）水质监测结果尚未稳定达标，但根据应急专家组建议可恢复正常取水时。</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城厢区水源地突发环境事件应急结束宣布格式内容见附件11。</w:t>
      </w:r>
    </w:p>
    <w:p>
      <w:pPr>
        <w:adjustRightInd w:val="0"/>
        <w:snapToGrid w:val="0"/>
        <w:spacing w:line="324" w:lineRule="auto"/>
        <w:outlineLvl w:val="0"/>
        <w:rPr>
          <w:rFonts w:eastAsia="黑体"/>
          <w:bCs/>
          <w:color w:val="000000" w:themeColor="text1"/>
          <w:sz w:val="32"/>
          <w:szCs w:val="32"/>
          <w14:textFill>
            <w14:solidFill>
              <w14:schemeClr w14:val="tx1"/>
            </w14:solidFill>
          </w14:textFill>
        </w:rPr>
      </w:pPr>
      <w:bookmarkStart w:id="509" w:name="_Toc523223362"/>
      <w:bookmarkStart w:id="510" w:name="_Toc25461"/>
      <w:bookmarkStart w:id="511" w:name="_Toc523219314"/>
      <w:bookmarkStart w:id="512" w:name="_Toc529453120"/>
      <w:bookmarkStart w:id="513" w:name="_Toc529453274"/>
      <w:bookmarkStart w:id="514" w:name="_Toc522893245"/>
      <w:bookmarkStart w:id="515" w:name="_Toc528234256"/>
      <w:bookmarkStart w:id="516" w:name="_Toc7250"/>
      <w:bookmarkStart w:id="517" w:name="_Toc523153543"/>
      <w:bookmarkStart w:id="518" w:name="_Toc523220112"/>
      <w:bookmarkStart w:id="519" w:name="_Toc24947"/>
      <w:bookmarkStart w:id="520" w:name="_Toc527026572"/>
      <w:bookmarkStart w:id="521" w:name="_Toc23913"/>
      <w:bookmarkStart w:id="522" w:name="_Toc523219603"/>
      <w:bookmarkStart w:id="523" w:name="_Toc523223902"/>
      <w:r>
        <w:rPr>
          <w:rFonts w:hint="eastAsia" w:eastAsia="黑体"/>
          <w:bCs/>
          <w:color w:val="000000" w:themeColor="text1"/>
          <w:sz w:val="32"/>
          <w:szCs w:val="32"/>
          <w14:textFill>
            <w14:solidFill>
              <w14:schemeClr w14:val="tx1"/>
            </w14:solidFill>
          </w14:textFill>
        </w:rPr>
        <w:t>4后期工作</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包括后期防控、事件调查、损害评估、善后处置等内容。</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524" w:name="_Toc523223903"/>
      <w:bookmarkStart w:id="525" w:name="_Toc16930"/>
      <w:bookmarkStart w:id="526" w:name="_Toc529453275"/>
      <w:bookmarkStart w:id="527" w:name="_Toc523219604"/>
      <w:bookmarkStart w:id="528" w:name="_Toc527026573"/>
      <w:bookmarkStart w:id="529" w:name="_Toc523223363"/>
      <w:bookmarkStart w:id="530" w:name="_Toc8313"/>
      <w:bookmarkStart w:id="531" w:name="_Toc522893246"/>
      <w:bookmarkStart w:id="532" w:name="_Toc523220113"/>
      <w:bookmarkStart w:id="533" w:name="_Toc523219315"/>
      <w:bookmarkStart w:id="534" w:name="_Toc523153544"/>
      <w:bookmarkStart w:id="535" w:name="_Toc528234257"/>
      <w:bookmarkStart w:id="536" w:name="_Toc529453121"/>
      <w:bookmarkStart w:id="537" w:name="_Toc10637"/>
      <w:bookmarkStart w:id="538" w:name="_Toc25149"/>
      <w:r>
        <w:rPr>
          <w:rFonts w:hint="eastAsia" w:eastAsia="仿宋"/>
          <w:b/>
          <w:color w:val="000000" w:themeColor="text1"/>
          <w:sz w:val="32"/>
          <w:szCs w:val="32"/>
          <w14:textFill>
            <w14:solidFill>
              <w14:schemeClr w14:val="tx1"/>
            </w14:solidFill>
          </w14:textFill>
        </w:rPr>
        <w:t>4.1后期防控</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水源地突发环境事件应急响应终止后，区饮用水源地应急指挥部应组织应急监测队伍进行后期污染监测；组织专家制定后期污染治理方案，消除投放药剂的残留毒性和后期效应，防止次生突发环境事件；事件处理过程中产生的二次污染物应采取措施妥善、合法处置。事故处置过程产生的废水污染物收集后由区生态环境局委托有处理能力的单位处理达标后排放，事故处置过程产生的固废污染物需妥善安全暂存，委托有能力处置单位妥善处置，若为危险废物须交由有资质单位安全处置；在事故场地及漫延区域的污染物清除完成后，对土壤或水生态系统进行修复；部分污染物导流到水源地下游或其他区域，对这些区域的污染物进行清除等。</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539" w:name="_Toc523219605"/>
      <w:bookmarkStart w:id="540" w:name="_Toc527026574"/>
      <w:bookmarkStart w:id="541" w:name="_Toc523219316"/>
      <w:bookmarkStart w:id="542" w:name="_Toc30596"/>
      <w:bookmarkStart w:id="543" w:name="_Toc523223364"/>
      <w:bookmarkStart w:id="544" w:name="_Toc8014"/>
      <w:bookmarkStart w:id="545" w:name="_Toc529453276"/>
      <w:bookmarkStart w:id="546" w:name="_Toc522893247"/>
      <w:bookmarkStart w:id="547" w:name="_Toc528234258"/>
      <w:bookmarkStart w:id="548" w:name="_Toc523153545"/>
      <w:bookmarkStart w:id="549" w:name="_Toc523223904"/>
      <w:bookmarkStart w:id="550" w:name="_Toc22269"/>
      <w:bookmarkStart w:id="551" w:name="_Toc529453122"/>
      <w:bookmarkStart w:id="552" w:name="_Toc14695"/>
      <w:bookmarkStart w:id="553" w:name="_Toc523220114"/>
      <w:r>
        <w:rPr>
          <w:rFonts w:hint="eastAsia" w:eastAsia="仿宋"/>
          <w:b/>
          <w:color w:val="000000" w:themeColor="text1"/>
          <w:sz w:val="32"/>
          <w:szCs w:val="32"/>
          <w14:textFill>
            <w14:solidFill>
              <w14:schemeClr w14:val="tx1"/>
            </w14:solidFill>
          </w14:textFill>
        </w:rPr>
        <w:t>4.2事件调查</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水源地突发环境事件发生后，根据《突发环境事件调查处理办法》等有关规定，由区生态环境局牵头，各有关部门配合，组织开展事件调查，通过对监测数据进行污染源分析、明察暗访等方式查明事件原因和性质，提出整改防范措施和处理建议。</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554" w:name="_Toc32163"/>
      <w:bookmarkStart w:id="555" w:name="_Toc529453277"/>
      <w:bookmarkStart w:id="556" w:name="_Toc523223365"/>
      <w:bookmarkStart w:id="557" w:name="_Toc528234259"/>
      <w:bookmarkStart w:id="558" w:name="_Toc11729"/>
      <w:bookmarkStart w:id="559" w:name="_Toc5734"/>
      <w:bookmarkStart w:id="560" w:name="_Toc30376"/>
      <w:bookmarkStart w:id="561" w:name="_Toc523153546"/>
      <w:bookmarkStart w:id="562" w:name="_Toc529453123"/>
      <w:bookmarkStart w:id="563" w:name="_Toc523219317"/>
      <w:bookmarkStart w:id="564" w:name="_Toc523220115"/>
      <w:bookmarkStart w:id="565" w:name="_Toc522893248"/>
      <w:bookmarkStart w:id="566" w:name="_Toc523219606"/>
      <w:bookmarkStart w:id="567" w:name="_Toc527026575"/>
      <w:bookmarkStart w:id="568" w:name="_Toc523223905"/>
      <w:r>
        <w:rPr>
          <w:rFonts w:hint="eastAsia" w:eastAsia="仿宋"/>
          <w:b/>
          <w:color w:val="000000" w:themeColor="text1"/>
          <w:sz w:val="32"/>
          <w:szCs w:val="32"/>
          <w14:textFill>
            <w14:solidFill>
              <w14:schemeClr w14:val="tx1"/>
            </w14:solidFill>
          </w14:textFill>
        </w:rPr>
        <w:t>4.3损害评估</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bookmarkStart w:id="569" w:name="_Toc529453278"/>
      <w:bookmarkStart w:id="570" w:name="_Toc523219607"/>
      <w:bookmarkStart w:id="571" w:name="_Toc523223906"/>
      <w:bookmarkStart w:id="572" w:name="_Toc523219318"/>
      <w:bookmarkStart w:id="573" w:name="_Toc22009"/>
      <w:bookmarkStart w:id="574" w:name="_Toc523223366"/>
      <w:bookmarkStart w:id="575" w:name="_Toc528234260"/>
      <w:bookmarkStart w:id="576" w:name="_Toc3942"/>
      <w:bookmarkStart w:id="577" w:name="_Toc523220116"/>
      <w:bookmarkStart w:id="578" w:name="_Toc529453124"/>
      <w:bookmarkStart w:id="579" w:name="_Toc527026576"/>
      <w:bookmarkStart w:id="580" w:name="_Toc522893249"/>
      <w:bookmarkStart w:id="581" w:name="_Toc523153547"/>
      <w:r>
        <w:rPr>
          <w:rFonts w:hint="eastAsia" w:eastAsia="仿宋"/>
          <w:color w:val="000000" w:themeColor="text1"/>
          <w:kern w:val="0"/>
          <w:sz w:val="32"/>
          <w:szCs w:val="32"/>
          <w14:textFill>
            <w14:solidFill>
              <w14:schemeClr w14:val="tx1"/>
            </w14:solidFill>
          </w14:textFill>
        </w:rPr>
        <w:t>（1）事发地乡镇（街道）和相关部门要及时总结经验、吸取教训，将应急处置工作的全过程记录整理后，形成系统的书面材料报区饮用水源地应急办和区政府备案，为今后妥善处置突发公共事件积累经验。</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由区人民政府委托第三方评估机构进行事件损害评估，公布损害评估的方式和办法，确定损害范围，通过经济损失、影响人数、生态环境破坏程度、导致水源取水中断天数等定量指标来评价损害大小，形成损害评估报告，报区饮用水源地应急指挥部存档。</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（3）由区人民政府在事件评估后第一时间内在网站、新闻、公告等形式发布。</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582" w:name="_Toc32145"/>
      <w:bookmarkStart w:id="583" w:name="_Toc12909"/>
      <w:r>
        <w:rPr>
          <w:rFonts w:hint="eastAsia" w:eastAsia="仿宋"/>
          <w:b/>
          <w:color w:val="000000" w:themeColor="text1"/>
          <w:sz w:val="32"/>
          <w:szCs w:val="32"/>
          <w14:textFill>
            <w14:solidFill>
              <w14:schemeClr w14:val="tx1"/>
            </w14:solidFill>
          </w14:textFill>
        </w:rPr>
        <w:t>4.4善后处置</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区政府负责，事发地乡镇（街道）和有关部门配合，开展善后处置工作，内容包括损害赔偿、风险源整改和污染场地修复等具体工作方案。</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环境应急工作结束后，区生态环境局应继续跟踪监测污染物的变化情况，直至稳定恢复。区卫生健康局要做好灾害事故现场的消毒与疫情的监控工作。在应急处置过程中征用的救治、救援物资，交通工具及设施、设备等，应依据有关标准和程序归还，对一次性或损坏的应急用品给予补偿。</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饮用水源地应急指挥部应组织有关专家对受灾范围进行科学评估，提出补偿和对受污染的生态环境进行恢复的建议、计划；协调处理污染赔偿和其他事项。如果环境污染造成了人员伤害，应当依据国家相关规定制定救助、补偿、治疗、抚恤、安置等善后工作方案并实施，对污染区域采取必要的疾病预防措施。</w:t>
      </w:r>
    </w:p>
    <w:p>
      <w:pPr>
        <w:adjustRightInd w:val="0"/>
        <w:snapToGrid w:val="0"/>
        <w:spacing w:line="324" w:lineRule="auto"/>
        <w:outlineLvl w:val="0"/>
        <w:rPr>
          <w:rFonts w:eastAsia="黑体"/>
          <w:bCs/>
          <w:color w:val="000000" w:themeColor="text1"/>
          <w:sz w:val="32"/>
          <w:szCs w:val="32"/>
          <w14:textFill>
            <w14:solidFill>
              <w14:schemeClr w14:val="tx1"/>
            </w14:solidFill>
          </w14:textFill>
        </w:rPr>
        <w:sectPr>
          <w:footerReference r:id="rId4" w:type="default"/>
          <w:pgSz w:w="11906" w:h="16838"/>
          <w:pgMar w:top="1440" w:right="1800" w:bottom="1440" w:left="1800" w:header="851" w:footer="454" w:gutter="0"/>
          <w:pgNumType w:start="1"/>
          <w:cols w:space="720" w:num="1"/>
          <w:docGrid w:type="lines" w:linePitch="381" w:charSpace="0"/>
        </w:sectPr>
      </w:pPr>
      <w:bookmarkStart w:id="584" w:name="_Toc523223907"/>
      <w:bookmarkStart w:id="585" w:name="_Toc30366"/>
      <w:bookmarkStart w:id="586" w:name="_Toc529453125"/>
      <w:bookmarkStart w:id="587" w:name="_Toc529453279"/>
      <w:bookmarkStart w:id="588" w:name="_Toc30941"/>
      <w:bookmarkStart w:id="589" w:name="_Toc523223367"/>
      <w:bookmarkStart w:id="590" w:name="_Toc523219319"/>
      <w:bookmarkStart w:id="591" w:name="_Toc528234261"/>
      <w:bookmarkStart w:id="592" w:name="_Toc13200"/>
      <w:bookmarkStart w:id="593" w:name="_Toc523153548"/>
      <w:bookmarkStart w:id="594" w:name="_Toc527026577"/>
      <w:bookmarkStart w:id="595" w:name="_Toc523220117"/>
      <w:bookmarkStart w:id="596" w:name="_Toc522893250"/>
      <w:bookmarkStart w:id="597" w:name="_Toc523219608"/>
    </w:p>
    <w:p>
      <w:pPr>
        <w:adjustRightInd w:val="0"/>
        <w:snapToGrid w:val="0"/>
        <w:spacing w:line="324" w:lineRule="auto"/>
        <w:outlineLvl w:val="0"/>
        <w:rPr>
          <w:rFonts w:eastAsia="黑体"/>
          <w:bCs/>
          <w:color w:val="000000" w:themeColor="text1"/>
          <w:sz w:val="32"/>
          <w:szCs w:val="32"/>
          <w14:textFill>
            <w14:solidFill>
              <w14:schemeClr w14:val="tx1"/>
            </w14:solidFill>
          </w14:textFill>
        </w:rPr>
      </w:pPr>
      <w:bookmarkStart w:id="598" w:name="_Toc23944"/>
      <w:r>
        <w:rPr>
          <w:rFonts w:hint="eastAsia" w:eastAsia="黑体"/>
          <w:bCs/>
          <w:color w:val="000000" w:themeColor="text1"/>
          <w:sz w:val="32"/>
          <w:szCs w:val="32"/>
          <w14:textFill>
            <w14:solidFill>
              <w14:schemeClr w14:val="tx1"/>
            </w14:solidFill>
          </w14:textFill>
        </w:rPr>
        <w:t>5应急保障</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599" w:name="_Toc523153549"/>
      <w:bookmarkStart w:id="600" w:name="_Toc528234262"/>
      <w:bookmarkStart w:id="601" w:name="_Toc529453126"/>
      <w:bookmarkStart w:id="602" w:name="_Toc523223368"/>
      <w:bookmarkStart w:id="603" w:name="_Toc19650"/>
      <w:bookmarkStart w:id="604" w:name="_Toc6782"/>
      <w:bookmarkStart w:id="605" w:name="_Toc523219320"/>
      <w:bookmarkStart w:id="606" w:name="_Toc523223908"/>
      <w:bookmarkStart w:id="607" w:name="_Toc523220118"/>
      <w:bookmarkStart w:id="608" w:name="_Toc529453280"/>
      <w:bookmarkStart w:id="609" w:name="_Toc523219609"/>
      <w:bookmarkStart w:id="610" w:name="_Toc17558"/>
      <w:bookmarkStart w:id="611" w:name="_Toc29122"/>
      <w:bookmarkStart w:id="612" w:name="_Toc527026578"/>
      <w:bookmarkStart w:id="613" w:name="_Toc522893251"/>
      <w:r>
        <w:rPr>
          <w:rFonts w:hint="eastAsia" w:eastAsia="仿宋"/>
          <w:b/>
          <w:color w:val="000000" w:themeColor="text1"/>
          <w:sz w:val="32"/>
          <w:szCs w:val="32"/>
          <w14:textFill>
            <w14:solidFill>
              <w14:schemeClr w14:val="tx1"/>
            </w14:solidFill>
          </w14:textFill>
        </w:rPr>
        <w:t>5.1通讯与信息保障</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饮用水源地应急指挥部与各成员单位应建立和完善通讯联络系统，区饮用水源地应急指挥部各成员单位应将应急队伍联系人、联系电话报区饮用水源地应急办备案，区饮用水源地应急办汇总后下发水源地突发环境事件应急处置专用通讯录。区饮用水源地应急办负责应急处置专用通信录的动态更新工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区饮用水源地应急办加强环境应急值守，确保报警电话畅通。</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综合组负责对外发布事件信息及应急处置进展情况。区环境应急指挥部负责提供准确、权威的信息，区委宣传部组织统一发布，确保信息准确、及时传递，正确引导社会舆论。事件发生的第一时间要向社会发布简要信息，随后发布初步核实情况、政府应对措施等，并根据事件处置情况做好后续发布工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城厢区水源地突发环境事件应急指挥部及成员单位值班通讯录见附件13。</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614" w:name="_Toc23612"/>
      <w:bookmarkStart w:id="615" w:name="_Toc1894"/>
      <w:bookmarkStart w:id="616" w:name="_Toc522893252"/>
      <w:bookmarkStart w:id="617" w:name="_Toc523223909"/>
      <w:bookmarkStart w:id="618" w:name="_Toc24468"/>
      <w:bookmarkStart w:id="619" w:name="_Toc523219610"/>
      <w:bookmarkStart w:id="620" w:name="_Toc523219321"/>
      <w:bookmarkStart w:id="621" w:name="_Toc529453127"/>
      <w:bookmarkStart w:id="622" w:name="_Toc523153550"/>
      <w:bookmarkStart w:id="623" w:name="_Toc523220119"/>
      <w:bookmarkStart w:id="624" w:name="_Toc527026579"/>
      <w:bookmarkStart w:id="625" w:name="_Toc528234263"/>
      <w:bookmarkStart w:id="626" w:name="_Toc15204"/>
      <w:bookmarkStart w:id="627" w:name="_Toc529453281"/>
      <w:bookmarkStart w:id="628" w:name="_Toc523223369"/>
      <w:r>
        <w:rPr>
          <w:rFonts w:hint="eastAsia" w:eastAsia="仿宋"/>
          <w:b/>
          <w:color w:val="000000" w:themeColor="text1"/>
          <w:sz w:val="32"/>
          <w:szCs w:val="32"/>
          <w14:textFill>
            <w14:solidFill>
              <w14:schemeClr w14:val="tx1"/>
            </w14:solidFill>
          </w14:textFill>
        </w:rPr>
        <w:t>5.2应急队伍保障</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区级有关部门应建立多层次的应急保障队伍，区政府进一步加强公安消防等队伍处置突发环境事件的能力，同时依托环保专业处置企业等社会化力量，建立社会化的环境应急救援队伍。</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加强应急队伍培训和演练。区环境应急指挥部组织全区演练，发现不足及时改进，不断提高各部门协同作战能力。</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sectPr>
          <w:pgSz w:w="11906" w:h="16838"/>
          <w:pgMar w:top="1440" w:right="1800" w:bottom="1440" w:left="1800" w:header="851" w:footer="454" w:gutter="0"/>
          <w:cols w:space="720" w:num="1"/>
          <w:docGrid w:type="lines" w:linePitch="381" w:charSpace="0"/>
        </w:sectPr>
      </w:pPr>
      <w:bookmarkStart w:id="629" w:name="_Toc528234264"/>
      <w:bookmarkStart w:id="630" w:name="_Toc523219322"/>
      <w:bookmarkStart w:id="631" w:name="_Toc28435"/>
      <w:bookmarkStart w:id="632" w:name="_Toc523223370"/>
      <w:bookmarkStart w:id="633" w:name="_Toc523153551"/>
      <w:bookmarkStart w:id="634" w:name="_Toc523220120"/>
      <w:bookmarkStart w:id="635" w:name="_Toc529453128"/>
      <w:bookmarkStart w:id="636" w:name="_Toc527026580"/>
      <w:bookmarkStart w:id="637" w:name="_Toc25546"/>
      <w:bookmarkStart w:id="638" w:name="_Toc523219611"/>
      <w:bookmarkStart w:id="639" w:name="_Toc522893253"/>
      <w:bookmarkStart w:id="640" w:name="_Toc9462"/>
      <w:bookmarkStart w:id="641" w:name="_Toc523223910"/>
      <w:bookmarkStart w:id="642" w:name="_Toc529453282"/>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643" w:name="_Toc16269"/>
      <w:r>
        <w:rPr>
          <w:rFonts w:hint="eastAsia" w:eastAsia="仿宋"/>
          <w:b/>
          <w:color w:val="000000" w:themeColor="text1"/>
          <w:sz w:val="32"/>
          <w:szCs w:val="32"/>
          <w14:textFill>
            <w14:solidFill>
              <w14:schemeClr w14:val="tx1"/>
            </w14:solidFill>
          </w14:textFill>
        </w:rPr>
        <w:t>5.3应急资源保障</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饮用水源地应急指挥部各成员单位根据职责分工，组织做好环境应急物资紧急生产、储备调用、紧急配送工作并做好本单位应急物资的更新及养护，保障应急处置和后续环境恢复需要。应根据事件和演练经验，持续改进药剂、物资、装备的规范存放，提高应急设施的建设要求，确保事件发生时能够快速高效的使用应急资源。</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生态环境局做好区级环境应急物资储备库物资储备、更新、调度和紧急配送等信息动态管理工作。区政府及各成员单位要制定环境应急物资储备计划，强化环境应急物资储备，鼓励通过政府补贴、第三方服务等方式，建立符合实际的应急物资储备体系，提高突发环境事件救援能力。</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各事发地镇政府应结合本辖区水源地环境风险特点，加强对当地环境应急物资生产、储存、更新、补充和紧急配送等信息的动态管理。加强对危险化学品、重金属、石油类的分析检测系统的建设，加强包括清污、除油、除藻、解毒、防酸碱、防腐蚀等试剂材料、快速检验检测设备、隔离及卫生防护用品等的储备。</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各应急物资储备库应制定相关管理制度，包括定期对仓库管理员进行教育培训；做好应急物资的入库质量把控、物资验收、登记建档等工作，建档内容包括：品名、规格型号、数量、入库日期、失效日期等。应急</w:t>
      </w:r>
      <w:r>
        <w:rPr>
          <w:rFonts w:hint="eastAsia" w:eastAsia="仿宋"/>
          <w:color w:val="000000" w:themeColor="text1"/>
          <w:kern w:val="0"/>
          <w:sz w:val="32"/>
          <w:szCs w:val="32"/>
          <w:lang w:eastAsia="zh-CN"/>
          <w14:textFill>
            <w14:solidFill>
              <w14:schemeClr w14:val="tx1"/>
            </w14:solidFill>
          </w14:textFill>
        </w:rPr>
        <w:t>物资</w:t>
      </w:r>
      <w:bookmarkStart w:id="937" w:name="_GoBack"/>
      <w:bookmarkEnd w:id="937"/>
      <w:r>
        <w:rPr>
          <w:rFonts w:hint="eastAsia" w:eastAsia="仿宋"/>
          <w:color w:val="000000" w:themeColor="text1"/>
          <w:kern w:val="0"/>
          <w:sz w:val="32"/>
          <w:szCs w:val="32"/>
          <w14:textFill>
            <w14:solidFill>
              <w14:schemeClr w14:val="tx1"/>
            </w14:solidFill>
          </w14:textFill>
        </w:rPr>
        <w:t>储备库管理单位应定期对储备库进行全面检查，发现损坏、失效现象时及时更新或维修；发现有欠缺的应急物资，应及时补充添置。</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区环境应急物资储备库物资清单及各区水源地突发环境事件应急物资储备情况具体见本预案3.8节。</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644" w:name="_Toc523223371"/>
      <w:bookmarkStart w:id="645" w:name="_Toc528234265"/>
      <w:bookmarkStart w:id="646" w:name="_Toc523220121"/>
      <w:bookmarkStart w:id="647" w:name="_Toc522893254"/>
      <w:bookmarkStart w:id="648" w:name="_Toc4517"/>
      <w:bookmarkStart w:id="649" w:name="_Toc523223911"/>
      <w:bookmarkStart w:id="650" w:name="_Toc21120"/>
      <w:bookmarkStart w:id="651" w:name="_Toc529453283"/>
      <w:bookmarkStart w:id="652" w:name="_Toc527026581"/>
      <w:bookmarkStart w:id="653" w:name="_Toc529453129"/>
      <w:bookmarkStart w:id="654" w:name="_Toc523219612"/>
      <w:bookmarkStart w:id="655" w:name="_Toc25816"/>
      <w:bookmarkStart w:id="656" w:name="_Toc523153552"/>
      <w:bookmarkStart w:id="657" w:name="_Toc9388"/>
      <w:bookmarkStart w:id="658" w:name="_Toc523219323"/>
      <w:r>
        <w:rPr>
          <w:rFonts w:hint="eastAsia" w:eastAsia="仿宋"/>
          <w:b/>
          <w:color w:val="000000" w:themeColor="text1"/>
          <w:sz w:val="32"/>
          <w:szCs w:val="32"/>
          <w14:textFill>
            <w14:solidFill>
              <w14:schemeClr w14:val="tx1"/>
            </w14:solidFill>
          </w14:textFill>
        </w:rPr>
        <w:t>5.4经费保障</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bookmarkStart w:id="659" w:name="_Toc529453284"/>
      <w:bookmarkStart w:id="660" w:name="_Toc523219613"/>
      <w:bookmarkStart w:id="661" w:name="_Toc522893255"/>
      <w:bookmarkStart w:id="662" w:name="_Toc523219324"/>
      <w:bookmarkStart w:id="663" w:name="_Toc4643"/>
      <w:bookmarkStart w:id="664" w:name="_Toc523223372"/>
      <w:bookmarkStart w:id="665" w:name="_Toc523220122"/>
      <w:bookmarkStart w:id="666" w:name="_Toc31727"/>
      <w:bookmarkStart w:id="667" w:name="_Toc523153553"/>
      <w:bookmarkStart w:id="668" w:name="_Toc523223912"/>
      <w:bookmarkStart w:id="669" w:name="_Toc20706"/>
      <w:bookmarkStart w:id="670" w:name="_Toc529453130"/>
      <w:bookmarkStart w:id="671" w:name="_Toc528234266"/>
      <w:bookmarkStart w:id="672" w:name="_Toc527026582"/>
      <w:r>
        <w:rPr>
          <w:rFonts w:eastAsia="仿宋"/>
          <w:color w:val="000000" w:themeColor="text1"/>
          <w:kern w:val="0"/>
          <w:sz w:val="32"/>
          <w:szCs w:val="32"/>
          <w14:textFill>
            <w14:solidFill>
              <w14:schemeClr w14:val="tx1"/>
            </w14:solidFill>
          </w14:textFill>
        </w:rPr>
        <w:t>集中式饮用水源地突发环境事件应急处置所需经费首先由事件责任单位承担。</w:t>
      </w:r>
      <w:r>
        <w:rPr>
          <w:rFonts w:hint="eastAsia" w:eastAsia="仿宋"/>
          <w:color w:val="000000" w:themeColor="text1"/>
          <w:kern w:val="0"/>
          <w:sz w:val="32"/>
          <w:szCs w:val="32"/>
          <w14:textFill>
            <w14:solidFill>
              <w14:schemeClr w14:val="tx1"/>
            </w14:solidFill>
          </w14:textFill>
        </w:rPr>
        <w:t>区</w:t>
      </w:r>
      <w:r>
        <w:rPr>
          <w:rFonts w:eastAsia="仿宋"/>
          <w:color w:val="000000" w:themeColor="text1"/>
          <w:kern w:val="0"/>
          <w:sz w:val="32"/>
          <w:szCs w:val="32"/>
          <w14:textFill>
            <w14:solidFill>
              <w14:schemeClr w14:val="tx1"/>
            </w14:solidFill>
          </w14:textFill>
        </w:rPr>
        <w:t>财政局应当对突发饮用水源环境事件应急工作和环境应急能力建设给予有力支持，为突发饮用水源环境事件应急处置工作提供资金保障。</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673" w:name="_Toc28174"/>
      <w:r>
        <w:rPr>
          <w:rFonts w:hint="eastAsia" w:eastAsia="仿宋"/>
          <w:b/>
          <w:color w:val="000000" w:themeColor="text1"/>
          <w:sz w:val="32"/>
          <w:szCs w:val="32"/>
          <w14:textFill>
            <w14:solidFill>
              <w14:schemeClr w14:val="tx1"/>
            </w14:solidFill>
          </w14:textFill>
        </w:rPr>
        <w:t>5.5其他保障</w:t>
      </w:r>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674" w:name="_Toc523153554"/>
      <w:bookmarkStart w:id="675" w:name="_Toc28523"/>
      <w:bookmarkStart w:id="676" w:name="_Toc518463515"/>
      <w:bookmarkStart w:id="677" w:name="_Toc523220123"/>
      <w:bookmarkStart w:id="678" w:name="_Toc32079"/>
      <w:bookmarkStart w:id="679" w:name="_Toc527026583"/>
      <w:bookmarkStart w:id="680" w:name="_Toc30174"/>
      <w:r>
        <w:rPr>
          <w:rFonts w:hint="eastAsia" w:eastAsia="仿宋"/>
          <w:b/>
          <w:color w:val="000000" w:themeColor="text1"/>
          <w:sz w:val="32"/>
          <w:szCs w:val="32"/>
          <w14:textFill>
            <w14:solidFill>
              <w14:schemeClr w14:val="tx1"/>
            </w14:solidFill>
          </w14:textFill>
        </w:rPr>
        <w:t>5.5.1物资、设备设施运输保障</w:t>
      </w:r>
      <w:bookmarkEnd w:id="674"/>
      <w:bookmarkEnd w:id="675"/>
      <w:bookmarkEnd w:id="676"/>
      <w:bookmarkEnd w:id="677"/>
      <w:bookmarkEnd w:id="678"/>
      <w:bookmarkEnd w:id="679"/>
      <w:bookmarkEnd w:id="680"/>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区交通运输局根据应急指挥部的指令，负责保证应急处置状态下应急处置物资和设备设施的运输保障，应急交通工具优先安排、优先调度。</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区消防大队根据应急指挥部的指令，负责协助清理现场，调配消防车辆向供水重点保障区域和缺水区域应急送水。</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681" w:name="_Toc2040"/>
      <w:bookmarkStart w:id="682" w:name="_Toc523153555"/>
      <w:bookmarkStart w:id="683" w:name="_Toc527026584"/>
      <w:bookmarkStart w:id="684" w:name="_Toc518463516"/>
      <w:bookmarkStart w:id="685" w:name="_Toc523220124"/>
      <w:bookmarkStart w:id="686" w:name="_Toc26685"/>
      <w:bookmarkStart w:id="687" w:name="_Toc7715"/>
      <w:r>
        <w:rPr>
          <w:rFonts w:hint="eastAsia" w:eastAsia="仿宋"/>
          <w:b/>
          <w:color w:val="000000" w:themeColor="text1"/>
          <w:sz w:val="32"/>
          <w:szCs w:val="32"/>
          <w14:textFill>
            <w14:solidFill>
              <w14:schemeClr w14:val="tx1"/>
            </w14:solidFill>
          </w14:textFill>
        </w:rPr>
        <w:t>5.5.2医疗卫生救助保障</w:t>
      </w:r>
      <w:bookmarkEnd w:id="681"/>
      <w:bookmarkEnd w:id="682"/>
      <w:bookmarkEnd w:id="683"/>
      <w:bookmarkEnd w:id="684"/>
      <w:bookmarkEnd w:id="685"/>
      <w:bookmarkEnd w:id="686"/>
      <w:bookmarkEnd w:id="687"/>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卫生健康局负责完善应急救援机制，储备医疗救治、检测检验等卫生应急物资。主要负责对供水单位的卫生监督；开展水源水、出厂水、管网末梢水、二次供水的水质监测；对发生突发环境事件造成的人员伤亡及时组织医疗急救。</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688" w:name="_Toc523220125"/>
      <w:bookmarkStart w:id="689" w:name="_Toc15891"/>
      <w:bookmarkStart w:id="690" w:name="_Toc523153556"/>
      <w:bookmarkStart w:id="691" w:name="_Toc5302"/>
      <w:bookmarkStart w:id="692" w:name="_Toc527026585"/>
      <w:bookmarkStart w:id="693" w:name="_Toc518463517"/>
      <w:bookmarkStart w:id="694" w:name="_Toc16642"/>
      <w:r>
        <w:rPr>
          <w:rFonts w:hint="eastAsia" w:eastAsia="仿宋"/>
          <w:b/>
          <w:color w:val="000000" w:themeColor="text1"/>
          <w:sz w:val="32"/>
          <w:szCs w:val="32"/>
          <w14:textFill>
            <w14:solidFill>
              <w14:schemeClr w14:val="tx1"/>
            </w14:solidFill>
          </w14:textFill>
        </w:rPr>
        <w:t>5.5.3治安和人员安全保障</w:t>
      </w:r>
      <w:bookmarkEnd w:id="688"/>
      <w:bookmarkEnd w:id="689"/>
      <w:bookmarkEnd w:id="690"/>
      <w:bookmarkEnd w:id="691"/>
      <w:bookmarkEnd w:id="692"/>
      <w:bookmarkEnd w:id="693"/>
      <w:bookmarkEnd w:id="694"/>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发生饮用水源地突发环境事件时，区公安部门根据现场应急指挥部指令，依据相关规定实施治安维护工作，及时做好人员疏散、现场控制、交通管制等工作，采取有力措施防止不法人员趁乱抢劫、盗窃或哄抢财物，依法打击破坏社会秩序的行为，维护社会稳定。</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区应急管理局根据现场应急指挥部的指令，组织协调受灾群众的安置和救助工作，并指导相关部门向群众分发救灾物资。</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现场处置人员应根据事件特征，配置相应的专业防护装备，采取安全防护措施，严格执行应急处置程序。</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695" w:name="_Toc10098"/>
      <w:bookmarkStart w:id="696" w:name="_Toc523220126"/>
      <w:bookmarkStart w:id="697" w:name="_Toc523153557"/>
      <w:bookmarkStart w:id="698" w:name="_Toc527026586"/>
      <w:bookmarkStart w:id="699" w:name="_Toc9803"/>
      <w:r>
        <w:rPr>
          <w:rFonts w:hint="eastAsia" w:eastAsia="仿宋"/>
          <w:b/>
          <w:color w:val="000000" w:themeColor="text1"/>
          <w:sz w:val="32"/>
          <w:szCs w:val="32"/>
          <w14:textFill>
            <w14:solidFill>
              <w14:schemeClr w14:val="tx1"/>
            </w14:solidFill>
          </w14:textFill>
        </w:rPr>
        <w:t>5.5.4社会动员保障</w:t>
      </w:r>
      <w:bookmarkEnd w:id="695"/>
      <w:bookmarkEnd w:id="696"/>
      <w:bookmarkEnd w:id="697"/>
      <w:bookmarkEnd w:id="698"/>
      <w:bookmarkEnd w:id="699"/>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事发地各镇政府制定社会动员方案，明确动员的条件、范围、程序和相关的保障措施，运用各种形式，将水源地突发环境事件发生和影响范围的对象动员起来，共同参与和配合水源地突发环境事件的应急处置。</w:t>
      </w:r>
    </w:p>
    <w:p>
      <w:pPr>
        <w:adjustRightInd w:val="0"/>
        <w:snapToGrid w:val="0"/>
        <w:spacing w:line="324" w:lineRule="auto"/>
        <w:outlineLvl w:val="0"/>
        <w:rPr>
          <w:rFonts w:eastAsia="黑体"/>
          <w:bCs/>
          <w:color w:val="000000" w:themeColor="text1"/>
          <w:sz w:val="32"/>
          <w:szCs w:val="32"/>
          <w14:textFill>
            <w14:solidFill>
              <w14:schemeClr w14:val="tx1"/>
            </w14:solidFill>
          </w14:textFill>
        </w:rPr>
      </w:pPr>
      <w:bookmarkStart w:id="700" w:name="_Toc529453131"/>
      <w:bookmarkStart w:id="701" w:name="_Toc523219614"/>
      <w:bookmarkStart w:id="702" w:name="_Toc528234267"/>
      <w:bookmarkStart w:id="703" w:name="_Toc25943"/>
      <w:bookmarkStart w:id="704" w:name="_Toc527026587"/>
      <w:bookmarkStart w:id="705" w:name="_Toc522893256"/>
      <w:bookmarkStart w:id="706" w:name="_Toc523223373"/>
      <w:bookmarkStart w:id="707" w:name="_Toc1876"/>
      <w:bookmarkStart w:id="708" w:name="_Toc523220127"/>
      <w:bookmarkStart w:id="709" w:name="_Toc10659"/>
      <w:bookmarkStart w:id="710" w:name="_Toc523223913"/>
      <w:bookmarkStart w:id="711" w:name="_Toc523219325"/>
      <w:bookmarkStart w:id="712" w:name="_Toc529453285"/>
      <w:bookmarkStart w:id="713" w:name="_Toc523153558"/>
      <w:bookmarkStart w:id="714" w:name="_Toc14205"/>
      <w:r>
        <w:rPr>
          <w:rFonts w:hint="eastAsia" w:eastAsia="黑体"/>
          <w:bCs/>
          <w:color w:val="000000" w:themeColor="text1"/>
          <w:sz w:val="32"/>
          <w:szCs w:val="32"/>
          <w14:textFill>
            <w14:solidFill>
              <w14:schemeClr w14:val="tx1"/>
            </w14:solidFill>
          </w14:textFill>
        </w:rPr>
        <w:t>6附则</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715" w:name="_Toc523219615"/>
      <w:bookmarkStart w:id="716" w:name="_Toc527026588"/>
      <w:bookmarkStart w:id="717" w:name="_Toc523219326"/>
      <w:bookmarkStart w:id="718" w:name="_Toc523220128"/>
      <w:bookmarkStart w:id="719" w:name="_Toc27562"/>
      <w:bookmarkStart w:id="720" w:name="_Toc1087"/>
      <w:bookmarkStart w:id="721" w:name="_Toc529453132"/>
      <w:bookmarkStart w:id="722" w:name="_Toc523153559"/>
      <w:bookmarkStart w:id="723" w:name="_Toc528234268"/>
      <w:bookmarkStart w:id="724" w:name="_Toc523223374"/>
      <w:bookmarkStart w:id="725" w:name="_Toc11090"/>
      <w:bookmarkStart w:id="726" w:name="_Toc523223914"/>
      <w:bookmarkStart w:id="727" w:name="_Toc529453286"/>
      <w:bookmarkStart w:id="728" w:name="_Toc522893257"/>
      <w:bookmarkStart w:id="729" w:name="_Toc4695"/>
      <w:r>
        <w:rPr>
          <w:rFonts w:hint="eastAsia" w:eastAsia="仿宋"/>
          <w:b/>
          <w:color w:val="000000" w:themeColor="text1"/>
          <w:sz w:val="32"/>
          <w:szCs w:val="32"/>
          <w14:textFill>
            <w14:solidFill>
              <w14:schemeClr w14:val="tx1"/>
            </w14:solidFill>
          </w14:textFill>
        </w:rPr>
        <w:t>6.1名词术语</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（1）集中式地表水饮用水水源地</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指进入输水管网、送到用户且具有一定取水规模（供水人口一般大于1000人）的在用、备用和规划的地表水饮用水水源地。依据取水口所在水体类型不同，可分为河流型水源地和湖泊（水库）型水源地。</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（2）饮用水水源保护区</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指国家为防治饮用水水源地污染、保障水源地环境质量而划定，并要求加以特殊保护的一定面积的水域和陆域。饮用水水源保护区分为一级保护区和二级保护区，必要时可在水源保护区外划定准保护区。</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（3）地表水饮用水水源地风险物质</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指《地表水环境质量标准》中表1、表2和表3所包含的项目与物质，以及该标准之外其他可能影响人体健康的项目与物质。</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（4）危险化学品</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指具有毒害、腐蚀、爆炸、燃烧、助燃等性质，对人体、设施、环境具有危害的剧毒化学品和其他化学品。</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（5）饮用水水源地突发环境事件</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指由于污染物排放或自然灾害、生产安全事故、交通运输事故等因素，导致水源地风险物质进入水源保护区或其上游的连接水体，突然造成或可能造成水源地水质超标，影响或可能影响饮用水供水单位正常取水，危及公众身体健康和财产安全，需要采取紧急措施予以应对的事件。</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（6）水质超标</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指水源地水质超过《地表水环境质量标准》规定的Ⅲ类水质标准或标准限值的要求。</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地表水环境质量标准》未包括的项目，可根据物质本身的危害特性和有关供水单位的净化能力，参考国外有关标准（如世界卫生组织、美国环境保护署等）规定的浓度值，由市、县级人民政府组织有关部门会商或依据应急专家组意见确定。</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（7）应急处置</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指对即将发生或正在发生或已经发生的突发环境事件所采取的一系列的应急响应措施。</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（8）泄漏处理</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泄漏处理是指对危险化学品、危险废物、放射性物质、有毒气体等污染源因事件发生泄漏时的所采取的应急处置措施。泄漏处理要及时、得当，避免重大事件的发生。泄漏处理一般分为泄漏源控制和泄漏物处置两部分。</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（9）应急监测</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环境应急情况下，为发现和查明环境污染情况和污染范围而进行的环境监测。包括定点监测和动态监测。</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730" w:name="_Toc523219327"/>
      <w:bookmarkStart w:id="731" w:name="_Toc4282"/>
      <w:bookmarkStart w:id="732" w:name="_Toc523219616"/>
      <w:bookmarkStart w:id="733" w:name="_Toc523223375"/>
      <w:bookmarkStart w:id="734" w:name="_Toc523220129"/>
      <w:bookmarkStart w:id="735" w:name="_Toc528234269"/>
      <w:bookmarkStart w:id="736" w:name="_Toc523223915"/>
      <w:bookmarkStart w:id="737" w:name="_Toc529453287"/>
      <w:bookmarkStart w:id="738" w:name="_Toc523153560"/>
      <w:bookmarkStart w:id="739" w:name="_Toc527026589"/>
      <w:bookmarkStart w:id="740" w:name="_Toc25931"/>
      <w:bookmarkStart w:id="741" w:name="_Toc529453133"/>
      <w:bookmarkStart w:id="742" w:name="_Toc522893258"/>
      <w:bookmarkStart w:id="743" w:name="_Toc29523"/>
      <w:bookmarkStart w:id="744" w:name="_Toc5029"/>
      <w:r>
        <w:rPr>
          <w:rFonts w:hint="eastAsia" w:eastAsia="仿宋"/>
          <w:b/>
          <w:color w:val="000000" w:themeColor="text1"/>
          <w:sz w:val="32"/>
          <w:szCs w:val="32"/>
          <w14:textFill>
            <w14:solidFill>
              <w14:schemeClr w14:val="tx1"/>
            </w14:solidFill>
          </w14:textFill>
        </w:rPr>
        <w:t>6.2预案解释权属</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pPr>
        <w:widowControl/>
        <w:autoSpaceDE w:val="0"/>
        <w:adjustRightInd w:val="0"/>
        <w:snapToGrid w:val="0"/>
        <w:spacing w:line="324" w:lineRule="auto"/>
        <w:ind w:firstLine="640" w:firstLineChars="200"/>
        <w:jc w:val="left"/>
        <w:rPr>
          <w:rFonts w:eastAsia="仿宋"/>
          <w:color w:val="000000" w:themeColor="text1"/>
          <w:kern w:val="0"/>
          <w:sz w:val="32"/>
          <w:szCs w:val="32"/>
          <w14:textFill>
            <w14:solidFill>
              <w14:schemeClr w14:val="tx1"/>
            </w14:solidFill>
          </w14:textFill>
        </w:rPr>
      </w:pPr>
      <w:r>
        <w:rPr>
          <w:rFonts w:eastAsia="仿宋"/>
          <w:color w:val="000000" w:themeColor="text1"/>
          <w:kern w:val="0"/>
          <w:sz w:val="32"/>
          <w:szCs w:val="32"/>
          <w14:textFill>
            <w14:solidFill>
              <w14:schemeClr w14:val="tx1"/>
            </w14:solidFill>
          </w14:textFill>
        </w:rPr>
        <w:t>本预案由</w:t>
      </w:r>
      <w:r>
        <w:rPr>
          <w:rFonts w:hint="eastAsia" w:eastAsia="仿宋"/>
          <w:color w:val="000000" w:themeColor="text1"/>
          <w:kern w:val="0"/>
          <w:sz w:val="32"/>
          <w:szCs w:val="32"/>
          <w14:textFill>
            <w14:solidFill>
              <w14:schemeClr w14:val="tx1"/>
            </w14:solidFill>
          </w14:textFill>
        </w:rPr>
        <w:t>莆田市</w:t>
      </w:r>
      <w:r>
        <w:rPr>
          <w:rFonts w:eastAsia="仿宋"/>
          <w:color w:val="000000" w:themeColor="text1"/>
          <w:kern w:val="0"/>
          <w:sz w:val="32"/>
          <w:szCs w:val="32"/>
          <w14:textFill>
            <w14:solidFill>
              <w14:schemeClr w14:val="tx1"/>
            </w14:solidFill>
          </w14:textFill>
        </w:rPr>
        <w:t>城厢</w:t>
      </w:r>
      <w:r>
        <w:rPr>
          <w:rFonts w:hint="eastAsia" w:eastAsia="仿宋"/>
          <w:color w:val="000000" w:themeColor="text1"/>
          <w:kern w:val="0"/>
          <w:sz w:val="32"/>
          <w:szCs w:val="32"/>
          <w14:textFill>
            <w14:solidFill>
              <w14:schemeClr w14:val="tx1"/>
            </w14:solidFill>
          </w14:textFill>
        </w:rPr>
        <w:t>生态环境</w:t>
      </w:r>
      <w:r>
        <w:rPr>
          <w:rFonts w:eastAsia="仿宋"/>
          <w:color w:val="000000" w:themeColor="text1"/>
          <w:kern w:val="0"/>
          <w:sz w:val="32"/>
          <w:szCs w:val="32"/>
          <w14:textFill>
            <w14:solidFill>
              <w14:schemeClr w14:val="tx1"/>
            </w14:solidFill>
          </w14:textFill>
        </w:rPr>
        <w:t>局</w:t>
      </w:r>
      <w:r>
        <w:rPr>
          <w:rFonts w:hint="eastAsia" w:eastAsia="仿宋"/>
          <w:color w:val="000000" w:themeColor="text1"/>
          <w:kern w:val="0"/>
          <w:sz w:val="32"/>
          <w:szCs w:val="32"/>
          <w14:textFill>
            <w14:solidFill>
              <w14:schemeClr w14:val="tx1"/>
            </w14:solidFill>
          </w14:textFill>
        </w:rPr>
        <w:t>负责解释。</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745" w:name="_Toc523220130"/>
      <w:bookmarkStart w:id="746" w:name="_Toc14411"/>
      <w:bookmarkStart w:id="747" w:name="_Toc527026590"/>
      <w:bookmarkStart w:id="748" w:name="_Toc528234270"/>
      <w:bookmarkStart w:id="749" w:name="_Toc523153561"/>
      <w:bookmarkStart w:id="750" w:name="_Toc523219617"/>
      <w:bookmarkStart w:id="751" w:name="_Toc523223376"/>
      <w:bookmarkStart w:id="752" w:name="_Toc529453134"/>
      <w:bookmarkStart w:id="753" w:name="_Toc529453288"/>
      <w:bookmarkStart w:id="754" w:name="_Toc26787"/>
      <w:bookmarkStart w:id="755" w:name="_Toc522893259"/>
      <w:bookmarkStart w:id="756" w:name="_Toc523219328"/>
      <w:bookmarkStart w:id="757" w:name="_Toc2957"/>
      <w:bookmarkStart w:id="758" w:name="_Toc17668"/>
      <w:bookmarkStart w:id="759" w:name="_Toc523223916"/>
      <w:r>
        <w:rPr>
          <w:rFonts w:hint="eastAsia" w:eastAsia="仿宋"/>
          <w:b/>
          <w:color w:val="000000" w:themeColor="text1"/>
          <w:sz w:val="32"/>
          <w:szCs w:val="32"/>
          <w14:textFill>
            <w14:solidFill>
              <w14:schemeClr w14:val="tx1"/>
            </w14:solidFill>
          </w14:textFill>
        </w:rPr>
        <w:t>6.3预案演练和修订</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760" w:name="_Toc5739"/>
      <w:bookmarkStart w:id="761" w:name="_Toc523153562"/>
      <w:bookmarkStart w:id="762" w:name="_Toc523220131"/>
      <w:bookmarkStart w:id="763" w:name="_Toc527026591"/>
      <w:bookmarkStart w:id="764" w:name="_Toc518463522"/>
      <w:bookmarkStart w:id="765" w:name="_Toc169"/>
      <w:r>
        <w:rPr>
          <w:rFonts w:hint="eastAsia" w:eastAsia="仿宋"/>
          <w:b/>
          <w:color w:val="000000" w:themeColor="text1"/>
          <w:sz w:val="32"/>
          <w:szCs w:val="32"/>
          <w14:textFill>
            <w14:solidFill>
              <w14:schemeClr w14:val="tx1"/>
            </w14:solidFill>
          </w14:textFill>
        </w:rPr>
        <w:t>6.3.1预案演练</w:t>
      </w:r>
      <w:bookmarkEnd w:id="760"/>
      <w:bookmarkEnd w:id="761"/>
      <w:bookmarkEnd w:id="762"/>
      <w:bookmarkEnd w:id="763"/>
      <w:bookmarkEnd w:id="764"/>
      <w:bookmarkEnd w:id="765"/>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（1）应急预案演练</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饮用水源地应急指挥部应定期举行包括水华灾害事件等不同类型水源地突发环境事件的应急演练，以检验、改善和强化应急准备和应急响应能力。演练内容主要包括通讯系统是否正常运作、信息报送流程是否畅通、各应急工作组配合是否协调、应急人员能力是否满足需要等。</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（2）演练目的</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①使参加应急响应的各部门熟悉、掌握各自所在应急响应行动中的职责，加强各部门之间的协同能力。</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②保证应急响应各有关环节快速、协调、有效地运作。</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③考核部门应急响应人员对所学理论与操作技能熟练掌握的程度。</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④及时发现应急响应计划和应急响应系统存在的问题与不足之处，以便予以改进和完善。</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（3）演练规模</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区饮用水源地应急指挥部应按照本预案，定期组织相关人员进行应急预案演练。演练规模可分为两种：</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①全面、系统的演练，以检验整个应急响应系统各环节的有效性，每年组织至少一次。</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②针对应急响应系统某个环节进行演练，以进一步完善应急反应预案，也可增加应急响应人员熟悉应急反应行动的机会。</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（4）演练记录和评价</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区饮用水源地应急办应对演练情况予以记录，并妥善保存备查。</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演练结束后，区饮用水源地应急指挥部应对演练情况进行总结评估，并根据演练结果及时修订完善。评估的内容可包括：演练的执行情况，预案的合理性与可操作性，指挥协调和应急联动情况，应急人员的处置情况，演练所用设备装备的适用性，对完善预案、应急准备、应急机制、应急措施等方面的意见和建议等。</w:t>
      </w:r>
    </w:p>
    <w:p>
      <w:pPr>
        <w:widowControl/>
        <w:adjustRightInd w:val="0"/>
        <w:snapToGrid w:val="0"/>
        <w:spacing w:line="324" w:lineRule="auto"/>
        <w:jc w:val="left"/>
        <w:outlineLvl w:val="2"/>
        <w:rPr>
          <w:rFonts w:eastAsia="仿宋"/>
          <w:b/>
          <w:color w:val="000000" w:themeColor="text1"/>
          <w:sz w:val="32"/>
          <w:szCs w:val="32"/>
          <w14:textFill>
            <w14:solidFill>
              <w14:schemeClr w14:val="tx1"/>
            </w14:solidFill>
          </w14:textFill>
        </w:rPr>
      </w:pPr>
      <w:bookmarkStart w:id="766" w:name="_Toc16052"/>
      <w:bookmarkStart w:id="767" w:name="_Toc10496"/>
      <w:bookmarkStart w:id="768" w:name="_Toc523220132"/>
      <w:bookmarkStart w:id="769" w:name="_Toc518463523"/>
      <w:bookmarkStart w:id="770" w:name="_Toc527026592"/>
      <w:bookmarkStart w:id="771" w:name="_Toc523153563"/>
      <w:r>
        <w:rPr>
          <w:rFonts w:hint="eastAsia" w:eastAsia="仿宋"/>
          <w:b/>
          <w:color w:val="000000" w:themeColor="text1"/>
          <w:sz w:val="32"/>
          <w:szCs w:val="32"/>
          <w14:textFill>
            <w14:solidFill>
              <w14:schemeClr w14:val="tx1"/>
            </w14:solidFill>
          </w14:textFill>
        </w:rPr>
        <w:t>6.3.2预案修订</w:t>
      </w:r>
      <w:bookmarkEnd w:id="766"/>
      <w:bookmarkEnd w:id="767"/>
      <w:bookmarkEnd w:id="768"/>
      <w:bookmarkEnd w:id="769"/>
      <w:bookmarkEnd w:id="770"/>
      <w:bookmarkEnd w:id="771"/>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本预案每三年进行一次评估，必要时进行修订。当环境应急管理的政策法规发生重大变化或成员单位职责、应急资源发生变化，或者应急过程中发现存在问题和出现新的情况，根据情况对本预案进行修改。</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eastAsia="仿宋"/>
          <w:color w:val="000000" w:themeColor="text1"/>
          <w:kern w:val="0"/>
          <w:sz w:val="32"/>
          <w:szCs w:val="32"/>
          <w14:textFill>
            <w14:solidFill>
              <w14:schemeClr w14:val="tx1"/>
            </w14:solidFill>
          </w14:textFill>
        </w:rPr>
        <w:t>本预案由城厢</w:t>
      </w:r>
      <w:r>
        <w:rPr>
          <w:rFonts w:hint="eastAsia" w:eastAsia="仿宋"/>
          <w:color w:val="000000" w:themeColor="text1"/>
          <w:kern w:val="0"/>
          <w:sz w:val="32"/>
          <w:szCs w:val="32"/>
          <w14:textFill>
            <w14:solidFill>
              <w14:schemeClr w14:val="tx1"/>
            </w14:solidFill>
          </w14:textFill>
        </w:rPr>
        <w:t>生态环境</w:t>
      </w:r>
      <w:r>
        <w:rPr>
          <w:rFonts w:eastAsia="仿宋"/>
          <w:color w:val="000000" w:themeColor="text1"/>
          <w:kern w:val="0"/>
          <w:sz w:val="32"/>
          <w:szCs w:val="32"/>
          <w14:textFill>
            <w14:solidFill>
              <w14:schemeClr w14:val="tx1"/>
            </w14:solidFill>
          </w14:textFill>
        </w:rPr>
        <w:t>局</w:t>
      </w:r>
      <w:r>
        <w:rPr>
          <w:rFonts w:hint="eastAsia" w:eastAsia="仿宋"/>
          <w:color w:val="000000" w:themeColor="text1"/>
          <w:kern w:val="0"/>
          <w:sz w:val="32"/>
          <w:szCs w:val="32"/>
          <w14:textFill>
            <w14:solidFill>
              <w14:schemeClr w14:val="tx1"/>
            </w14:solidFill>
          </w14:textFill>
        </w:rPr>
        <w:t>牵头</w:t>
      </w:r>
      <w:r>
        <w:rPr>
          <w:rFonts w:eastAsia="仿宋"/>
          <w:color w:val="000000" w:themeColor="text1"/>
          <w:kern w:val="0"/>
          <w:sz w:val="32"/>
          <w:szCs w:val="32"/>
          <w14:textFill>
            <w14:solidFill>
              <w14:schemeClr w14:val="tx1"/>
            </w14:solidFill>
          </w14:textFill>
        </w:rPr>
        <w:t>制订、修订、更新，报区政府批准执行。</w:t>
      </w:r>
    </w:p>
    <w:p>
      <w:pPr>
        <w:adjustRightInd w:val="0"/>
        <w:snapToGrid w:val="0"/>
        <w:spacing w:line="324" w:lineRule="auto"/>
        <w:ind w:right="480"/>
        <w:outlineLvl w:val="1"/>
        <w:rPr>
          <w:rFonts w:eastAsia="仿宋"/>
          <w:b/>
          <w:color w:val="000000" w:themeColor="text1"/>
          <w:sz w:val="32"/>
          <w:szCs w:val="32"/>
          <w14:textFill>
            <w14:solidFill>
              <w14:schemeClr w14:val="tx1"/>
            </w14:solidFill>
          </w14:textFill>
        </w:rPr>
      </w:pPr>
      <w:bookmarkStart w:id="772" w:name="_Toc529453135"/>
      <w:bookmarkStart w:id="773" w:name="_Toc523220133"/>
      <w:bookmarkStart w:id="774" w:name="_Toc523223377"/>
      <w:bookmarkStart w:id="775" w:name="_Toc523219329"/>
      <w:bookmarkStart w:id="776" w:name="_Toc522893260"/>
      <w:bookmarkStart w:id="777" w:name="_Toc523219618"/>
      <w:bookmarkStart w:id="778" w:name="_Toc528234271"/>
      <w:bookmarkStart w:id="779" w:name="_Toc29582"/>
      <w:bookmarkStart w:id="780" w:name="_Toc29836"/>
      <w:bookmarkStart w:id="781" w:name="_Toc24625"/>
      <w:bookmarkStart w:id="782" w:name="_Toc529453289"/>
      <w:bookmarkStart w:id="783" w:name="_Toc527026593"/>
      <w:bookmarkStart w:id="784" w:name="_Toc523153564"/>
      <w:bookmarkStart w:id="785" w:name="_Toc523223917"/>
      <w:bookmarkStart w:id="786" w:name="_Toc10261"/>
      <w:r>
        <w:rPr>
          <w:rFonts w:hint="eastAsia" w:eastAsia="仿宋"/>
          <w:b/>
          <w:color w:val="000000" w:themeColor="text1"/>
          <w:sz w:val="32"/>
          <w:szCs w:val="32"/>
          <w14:textFill>
            <w14:solidFill>
              <w14:schemeClr w14:val="tx1"/>
            </w14:solidFill>
          </w14:textFill>
        </w:rPr>
        <w:t>6.4预案实施日期</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pPr>
      <w:r>
        <w:rPr>
          <w:rFonts w:hint="eastAsia" w:eastAsia="仿宋"/>
          <w:color w:val="000000" w:themeColor="text1"/>
          <w:kern w:val="0"/>
          <w:sz w:val="32"/>
          <w:szCs w:val="32"/>
          <w14:textFill>
            <w14:solidFill>
              <w14:schemeClr w14:val="tx1"/>
            </w14:solidFill>
          </w14:textFill>
        </w:rPr>
        <w:t>本预案自印发之日起实施，原城厢区集中式饮用水源地突发环境事件应急预案（CXYYS-2014-01）同时废止。</w:t>
      </w:r>
    </w:p>
    <w:p>
      <w:pPr>
        <w:shd w:val="solid" w:color="FFFFFF" w:fill="auto"/>
        <w:autoSpaceDN w:val="0"/>
        <w:adjustRightInd w:val="0"/>
        <w:snapToGrid w:val="0"/>
        <w:spacing w:line="324" w:lineRule="auto"/>
        <w:ind w:firstLine="640" w:firstLineChars="200"/>
        <w:rPr>
          <w:rFonts w:eastAsia="仿宋"/>
          <w:color w:val="000000" w:themeColor="text1"/>
          <w:kern w:val="0"/>
          <w:sz w:val="32"/>
          <w:szCs w:val="32"/>
          <w14:textFill>
            <w14:solidFill>
              <w14:schemeClr w14:val="tx1"/>
            </w14:solidFill>
          </w14:textFill>
        </w:rPr>
        <w:sectPr>
          <w:pgSz w:w="11906" w:h="16838"/>
          <w:pgMar w:top="1440" w:right="1800" w:bottom="1440" w:left="1800" w:header="851" w:footer="454" w:gutter="0"/>
          <w:cols w:space="720" w:num="1"/>
          <w:docGrid w:type="lines" w:linePitch="381" w:charSpace="0"/>
        </w:sectPr>
      </w:pPr>
      <w:bookmarkStart w:id="787" w:name="_Toc523219330"/>
      <w:bookmarkStart w:id="788" w:name="_Toc21341"/>
      <w:bookmarkStart w:id="789" w:name="_Toc523223918"/>
      <w:bookmarkStart w:id="790" w:name="_Toc529453290"/>
      <w:bookmarkStart w:id="791" w:name="_Toc15050"/>
      <w:bookmarkStart w:id="792" w:name="_Toc523223378"/>
      <w:bookmarkStart w:id="793" w:name="_Toc527026594"/>
      <w:bookmarkStart w:id="794" w:name="_Toc523219619"/>
      <w:bookmarkStart w:id="795" w:name="_Toc528234272"/>
      <w:bookmarkStart w:id="796" w:name="_Toc523220134"/>
      <w:bookmarkStart w:id="797" w:name="_Toc523153565"/>
      <w:bookmarkStart w:id="798" w:name="_Toc529453136"/>
    </w:p>
    <w:bookmarkEnd w:id="787"/>
    <w:bookmarkEnd w:id="788"/>
    <w:bookmarkEnd w:id="789"/>
    <w:bookmarkEnd w:id="790"/>
    <w:bookmarkEnd w:id="791"/>
    <w:bookmarkEnd w:id="792"/>
    <w:bookmarkEnd w:id="793"/>
    <w:bookmarkEnd w:id="794"/>
    <w:bookmarkEnd w:id="795"/>
    <w:bookmarkEnd w:id="796"/>
    <w:bookmarkEnd w:id="797"/>
    <w:bookmarkEnd w:id="798"/>
    <w:p>
      <w:pPr>
        <w:jc w:val="left"/>
        <w:outlineLvl w:val="1"/>
        <w:rPr>
          <w:rFonts w:ascii="黑体" w:hAnsi="黑体" w:eastAsia="黑体"/>
          <w:color w:val="000000" w:themeColor="text1"/>
          <w:sz w:val="32"/>
          <w:szCs w:val="32"/>
          <w14:textFill>
            <w14:solidFill>
              <w14:schemeClr w14:val="tx1"/>
            </w14:solidFill>
          </w14:textFill>
        </w:rPr>
      </w:pPr>
      <w:bookmarkStart w:id="799" w:name="_Toc529453293"/>
      <w:bookmarkStart w:id="800" w:name="_Toc529453139"/>
      <w:bookmarkStart w:id="801" w:name="_Toc16958"/>
      <w:bookmarkStart w:id="802" w:name="_Toc7151"/>
      <w:bookmarkStart w:id="803" w:name="_Toc528234276"/>
      <w:bookmarkStart w:id="804" w:name="_Toc24996"/>
      <w:r>
        <w:rPr>
          <w:rFonts w:hint="eastAsia" w:ascii="黑体" w:hAnsi="黑体" w:eastAsia="黑体" w:cs="黑体"/>
          <w:color w:val="000000" w:themeColor="text1"/>
          <w:sz w:val="24"/>
          <w:szCs w:val="24"/>
          <w14:textFill>
            <w14:solidFill>
              <w14:schemeClr w14:val="tx1"/>
            </w14:solidFill>
          </w14:textFill>
        </w:rPr>
        <w:t>附件</w:t>
      </w:r>
      <w:r>
        <w:rPr>
          <w:rFonts w:hint="eastAsia" w:ascii="黑体" w:hAnsi="黑体" w:eastAsia="黑体" w:cs="黑体"/>
          <w:color w:val="000000" w:themeColor="text1"/>
          <w:sz w:val="24"/>
          <w:szCs w:val="24"/>
          <w:lang w:val="en-US" w:eastAsia="zh-CN"/>
          <w14:textFill>
            <w14:solidFill>
              <w14:schemeClr w14:val="tx1"/>
            </w14:solidFill>
          </w14:textFill>
        </w:rPr>
        <w:t>1</w:t>
      </w:r>
      <w:r>
        <w:rPr>
          <w:rFonts w:hint="eastAsia" w:ascii="黑体" w:hAnsi="黑体" w:eastAsia="黑体" w:cs="黑体"/>
          <w:color w:val="000000" w:themeColor="text1"/>
          <w:sz w:val="24"/>
          <w:szCs w:val="24"/>
          <w14:textFill>
            <w14:solidFill>
              <w14:schemeClr w14:val="tx1"/>
            </w14:solidFill>
          </w14:textFill>
        </w:rPr>
        <w:t>：城厢区集中式地表水饮用水水源地突发环境事件应急组织指挥体系框架图</w:t>
      </w:r>
      <w:bookmarkEnd w:id="799"/>
      <w:bookmarkEnd w:id="800"/>
      <w:bookmarkEnd w:id="801"/>
      <w:bookmarkEnd w:id="802"/>
      <w:bookmarkEnd w:id="803"/>
      <w:bookmarkEnd w:id="804"/>
    </w:p>
    <w:p>
      <w:pPr>
        <w:rPr>
          <w:color w:val="000000" w:themeColor="text1"/>
          <w14:textFill>
            <w14:solidFill>
              <w14:schemeClr w14:val="tx1"/>
            </w14:solidFill>
          </w14:textFill>
        </w:rPr>
        <w:sectPr>
          <w:pgSz w:w="16838" w:h="11906" w:orient="landscape"/>
          <w:pgMar w:top="1440" w:right="1800" w:bottom="1440" w:left="1800" w:header="851" w:footer="992" w:gutter="0"/>
          <w:cols w:space="425" w:num="1"/>
          <w:docGrid w:type="linesAndChars" w:linePitch="381" w:charSpace="0"/>
        </w:sectPr>
      </w:pPr>
      <w:r>
        <w:rPr>
          <w:color w:val="000000" w:themeColor="text1"/>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7452360</wp:posOffset>
                </wp:positionH>
                <wp:positionV relativeFrom="paragraph">
                  <wp:posOffset>1849755</wp:posOffset>
                </wp:positionV>
                <wp:extent cx="6985" cy="275590"/>
                <wp:effectExtent l="51435" t="0" r="63500" b="13970"/>
                <wp:wrapNone/>
                <wp:docPr id="37" name="直接箭头连接符 37"/>
                <wp:cNvGraphicFramePr/>
                <a:graphic xmlns:a="http://schemas.openxmlformats.org/drawingml/2006/main">
                  <a:graphicData uri="http://schemas.microsoft.com/office/word/2010/wordprocessingShape">
                    <wps:wsp>
                      <wps:cNvCnPr/>
                      <wps:spPr>
                        <a:xfrm flipV="1">
                          <a:off x="0" y="0"/>
                          <a:ext cx="6985" cy="275590"/>
                        </a:xfrm>
                        <a:prstGeom prst="straightConnector1">
                          <a:avLst/>
                        </a:prstGeom>
                        <a:noFill/>
                        <a:ln w="19050" cap="flat" cmpd="sng" algn="ctr">
                          <a:solidFill>
                            <a:srgbClr val="000000"/>
                          </a:solidFill>
                          <a:prstDash val="solid"/>
                          <a:headEnd type="arrow"/>
                          <a:tailEnd type="none"/>
                        </a:ln>
                        <a:effectLst/>
                      </wps:spPr>
                      <wps:bodyPr/>
                    </wps:wsp>
                  </a:graphicData>
                </a:graphic>
              </wp:anchor>
            </w:drawing>
          </mc:Choice>
          <mc:Fallback>
            <w:pict>
              <v:shape id="_x0000_s1026" o:spid="_x0000_s1026" o:spt="32" type="#_x0000_t32" style="position:absolute;left:0pt;flip:y;margin-left:586.8pt;margin-top:145.65pt;height:21.7pt;width:0.55pt;z-index:251682816;mso-width-relative:page;mso-height-relative:page;" filled="f" stroked="t" coordsize="21600,21600" o:gfxdata="UEsDBAoAAAAAAIdO4kAAAAAAAAAAAAAAAAAEAAAAZHJzL1BLAwQUAAAACACHTuJAmbW2wdgAAAAN&#10;AQAADwAAAGRycy9kb3ducmV2LnhtbE2PwU7DMAyG70i8Q2QkbizJAusoTXeYgDtjgmuWmLZak5Qm&#10;W8vb453g5l/+9PtztZl9z844pi4GDXIhgGGw0XWh0bB/f7lbA0vZBGf6GFDDDybY1NdXlSldnMIb&#10;nne5YVQSUmk0tDkPJefJtuhNWsQBA+2+4uhNpjg23I1monLf86UQK+5NF+hCawbctmiPu5PXYD8e&#10;5HE779Osmu9XOz1/im6ttL69keIJWMY5/8Fw0Sd1qMnpEE/BJdZTloVaEath+SgVsAsii/sC2EGD&#10;UjTwuuL/v6h/AVBLAwQUAAAACACHTuJASgI3bxMCAAD8AwAADgAAAGRycy9lMm9Eb2MueG1srVPN&#10;jtMwEL4j8Q6W7zTdou5uq6Z7aFkuCCrxc586TmLJfxp7m/YleAEkTsAJOO2dp4HlMRg7oSzLZQ/k&#10;EI0zmW/m++bz4mJvNNtJDMrZkp+MxpxJK1ylbFPy168uH51zFiLYCrSzsuQHGfjF8uGDRefncuJa&#10;pyuJjEBsmHe+5G2Mfl4UQbTSQBg5Ly0la4cGIh2xKSqEjtCNLibj8WnROaw8OiFDoK/rPskHRLwP&#10;oKtrJeTaiSsjbexRUWqIRCm0yge+zNPWtRTxRV0HGZkuOTGN+U1NKN6md7FcwLxB8K0SwwhwnxHu&#10;cDKgLDU9Qq0hArtC9Q+UUQJdcHUcCWeKnkhWhFicjO9o87IFLzMXkjr4o+jh/8GK57sNMlWV/PEZ&#10;ZxYMbfzm3fWPtx9vvn75/uH657f3Kf78iVGexOp8mFPNym5wOAW/wcR8X6NhtVb+Dbkqa0Hs2D5L&#10;fThKLfeRCfp4OjufciYoMTmbTmd5EUUPksA8hvhUOsNSUPIQEVTTxpWzllbqsG8Au2ch0hhU+Lsg&#10;FVt3qbTOm9WWdTTObDylhQsgu9ZkEwqNJ8rBNpyBbugeiIh55uC0qlJ5AgrYbFca2Q6Se/KTNKB2&#10;f/2Weq8htP1/OdX7qpVQPbEViwdPsgKi6/pEBKX/JCzdswFX29RXZuMO3JLivcYp2rrqkKUv0olM&#10;kccZDJxcd/tM8e1Lu/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bW2wdgAAAANAQAADwAAAAAA&#10;AAABACAAAAAiAAAAZHJzL2Rvd25yZXYueG1sUEsBAhQAFAAAAAgAh07iQEoCN28TAgAA/AMAAA4A&#10;AAAAAAAAAQAgAAAAJwEAAGRycy9lMm9Eb2MueG1sUEsFBgAAAAAGAAYAWQEAAKwFAAAAAA==&#10;">
                <v:fill on="f" focussize="0,0"/>
                <v:stroke weight="1.5pt" color="#000000" joinstyle="round" start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4347210</wp:posOffset>
                </wp:positionH>
                <wp:positionV relativeFrom="paragraph">
                  <wp:posOffset>1859280</wp:posOffset>
                </wp:positionV>
                <wp:extent cx="6985" cy="275590"/>
                <wp:effectExtent l="51435" t="0" r="63500" b="13970"/>
                <wp:wrapNone/>
                <wp:docPr id="42" name="直接箭头连接符 42"/>
                <wp:cNvGraphicFramePr/>
                <a:graphic xmlns:a="http://schemas.openxmlformats.org/drawingml/2006/main">
                  <a:graphicData uri="http://schemas.microsoft.com/office/word/2010/wordprocessingShape">
                    <wps:wsp>
                      <wps:cNvCnPr/>
                      <wps:spPr>
                        <a:xfrm flipV="1">
                          <a:off x="0" y="0"/>
                          <a:ext cx="6985" cy="275590"/>
                        </a:xfrm>
                        <a:prstGeom prst="straightConnector1">
                          <a:avLst/>
                        </a:prstGeom>
                        <a:noFill/>
                        <a:ln w="19050" cap="flat" cmpd="sng" algn="ctr">
                          <a:solidFill>
                            <a:srgbClr val="000000"/>
                          </a:solidFill>
                          <a:prstDash val="solid"/>
                          <a:headEnd type="arrow"/>
                          <a:tailEnd type="none"/>
                        </a:ln>
                        <a:effectLst/>
                      </wps:spPr>
                      <wps:bodyPr/>
                    </wps:wsp>
                  </a:graphicData>
                </a:graphic>
              </wp:anchor>
            </w:drawing>
          </mc:Choice>
          <mc:Fallback>
            <w:pict>
              <v:shape id="_x0000_s1026" o:spid="_x0000_s1026" o:spt="32" type="#_x0000_t32" style="position:absolute;left:0pt;flip:y;margin-left:342.3pt;margin-top:146.4pt;height:21.7pt;width:0.55pt;z-index:251685888;mso-width-relative:page;mso-height-relative:page;" filled="f" stroked="t" coordsize="21600,21600" o:gfxdata="UEsDBAoAAAAAAIdO4kAAAAAAAAAAAAAAAAAEAAAAZHJzL1BLAwQUAAAACACHTuJAwy/c/dgAAAAL&#10;AQAADwAAAGRycy9kb3ducmV2LnhtbE2PwU7DMBBE70j8g7VI3KidhJoQ4vRQAXdKBVfXXpKo8TrE&#10;bhP+HnOix9U+zbypN4sb2Bmn0HtSkK0EMCTjbU+tgv37y10JLERNVg+eUMEPBtg011e1rqyf6Q3P&#10;u9iyFEKh0gq6GMeK82A6dDqs/IiUfl9+cjqmc2q5nfScwt3AcyEkd7qn1NDpEbcdmuPu5BSYj3V2&#10;3C77sBTt96uZnz9FXxZK3d5k4glYxCX+w/Cnn9ShSU4HfyIb2KBAlvcyoQryxzxtSIQs1w/ADgqK&#10;QubAm5pfbmh+AVBLAwQUAAAACACHTuJAi8J1+BMCAAD8AwAADgAAAGRycy9lMm9Eb2MueG1srVPN&#10;jtMwEL4j8Q6W7zTdii7bqukeWpYLgkr83KeOk1jyn8bepn0JXgCJE3BiOe2dp4HlMRg7oSzLZQ/k&#10;EI0zmW/m++bz4nxvNNtJDMrZkp+MxpxJK1ylbFPyN68vHp1xFiLYCrSzsuQHGfj58uGDRefncuJa&#10;pyuJjEBsmHe+5G2Mfl4UQbTSQBg5Ly0la4cGIh2xKSqEjtCNLibj8WnROaw8OiFDoK/rPskHRLwP&#10;oKtrJeTaiUsjbexRUWqIRCm0yge+zNPWtRTxZV0HGZkuOTGN+U1NKN6md7FcwLxB8K0SwwhwnxHu&#10;cDKgLDU9Qq0hArtE9Q+UUQJdcHUcCWeKnkhWhFicjO9o86oFLzMXkjr4o+jh/8GKF7sNMlWV/PGE&#10;MwuGNn7z/vrHu083X6++f7z++e1Dir98ZpQnsTof5lSzshscTsFvMDHf12hYrZV/S67KWhA7ts9S&#10;H45Sy31kgj6ezs6mnAlKTJ5Mp7O8iKIHSWAeQ3wmnWEpKHmICKpp48pZSyt12DeA3fMQaQwq/F2Q&#10;iq27UFrnzWrLOhpnNp7SwgWQXWuyCYXGE+VgG85AN3QPRMQ8c3BaVak8AQVstiuNbAfJPflJGlC7&#10;v35LvdcQ2v6/nOp91UqontqKxYMnWQHRdX0igtJ/Epbu2YCrbeors3EHbknxXuMUbV11yNIX6USm&#10;yOMMBk6uu32m+PalXf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y/c/dgAAAALAQAADwAAAAAA&#10;AAABACAAAAAiAAAAZHJzL2Rvd25yZXYueG1sUEsBAhQAFAAAAAgAh07iQIvCdfgTAgAA/AMAAA4A&#10;AAAAAAAAAQAgAAAAJwEAAGRycy9lMm9Eb2MueG1sUEsFBgAAAAAGAAYAWQEAAKwFAAAAAA==&#10;">
                <v:fill on="f" focussize="0,0"/>
                <v:stroke weight="1.5pt" color="#000000" joinstyle="round" start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746760</wp:posOffset>
                </wp:positionH>
                <wp:positionV relativeFrom="paragraph">
                  <wp:posOffset>1830705</wp:posOffset>
                </wp:positionV>
                <wp:extent cx="6715125" cy="8890"/>
                <wp:effectExtent l="0" t="0" r="0" b="0"/>
                <wp:wrapNone/>
                <wp:docPr id="20" name="直接连接符 20"/>
                <wp:cNvGraphicFramePr/>
                <a:graphic xmlns:a="http://schemas.openxmlformats.org/drawingml/2006/main">
                  <a:graphicData uri="http://schemas.microsoft.com/office/word/2010/wordprocessingShape">
                    <wps:wsp>
                      <wps:cNvCnPr/>
                      <wps:spPr>
                        <a:xfrm flipV="1">
                          <a:off x="0" y="0"/>
                          <a:ext cx="6715125" cy="8890"/>
                        </a:xfrm>
                        <a:prstGeom prst="line">
                          <a:avLst/>
                        </a:prstGeom>
                        <a:noFill/>
                        <a:ln w="19050" cap="flat" cmpd="sng" algn="ctr">
                          <a:solidFill>
                            <a:srgbClr val="000000"/>
                          </a:solidFill>
                          <a:prstDash val="solid"/>
                        </a:ln>
                        <a:effectLst/>
                      </wps:spPr>
                      <wps:bodyPr/>
                    </wps:wsp>
                  </a:graphicData>
                </a:graphic>
              </wp:anchor>
            </w:drawing>
          </mc:Choice>
          <mc:Fallback>
            <w:pict>
              <v:line id="_x0000_s1026" o:spid="_x0000_s1026" o:spt="20" style="position:absolute;left:0pt;flip:y;margin-left:58.8pt;margin-top:144.15pt;height:0.7pt;width:528.75pt;z-index:251673600;mso-width-relative:page;mso-height-relative:page;" filled="f" stroked="t" coordsize="21600,21600" o:gfxdata="UEsDBAoAAAAAAIdO4kAAAAAAAAAAAAAAAAAEAAAAZHJzL1BLAwQUAAAACACHTuJAE/PZctgAAAAM&#10;AQAADwAAAGRycy9kb3ducmV2LnhtbE2Py07DMBBF90j8gzVIbCpqu4gmhDhdIFEJqSza8gFuPE0C&#10;8TiK3Qd/z2QFyztzdB/l6up7ccYxdoEM6LkCgVQH11Fj4HP/9pCDiMmSs30gNPCDEVbV7U1pCxcu&#10;tMXzLjWCTSgW1kCb0lBIGesWvY3zMCDx7xhGbxPLsZFutBc2971cKLWU3nbECa0d8LXF+nt38gbi&#10;jDYf2w2H7hGP6ms2rNf+3Zj7O61eQCS8pj8YpvpcHSrudAgnclH0rHW2ZNTAIs8fQUyEzp40iMN0&#10;es5AVqX8P6L6BVBLAwQUAAAACACHTuJAWpm/fOoBAAC4AwAADgAAAGRycy9lMm9Eb2MueG1srVO9&#10;jhMxEO6ReAfLPfEmUo7cKpsrLjoaBJH46R2vvWvJf/L4sslL8AJIdFBR0vM23D0GY+8SHUdzBSms&#10;Gc/km/k+f7u+OlpDDjKC9q6h81lFiXTCt9p1Df3w/ubFihJI3LXceCcbepJArzbPn62HUMuF771p&#10;ZSQI4qAeQkP7lELNGIheWg4zH6TDovLR8oRp7Fgb+YDo1rBFVV2wwcc2RC8kAN5uxyKdEONTAL1S&#10;WsitF7dWujSiRml4QkrQ6wB0U7ZVSor0VimQiZiGItNUThyC8T6fbLPmdRd56LWYVuBPWeERJ8u1&#10;w6FnqC1PnNxG/Q+U1SJ68CrNhLdsJFIUQRbz6pE273oeZOGCUkM4iw7/D1a8Oewi0W1DFyiJ4xZf&#10;/O7zj1+fvt7//ILn3fdvBCso0xCgxu5rt4tTBmEXM+ejipYoo8NH9FNRAXmRYxH5dBZZHhMReHnx&#10;cr6cL5aUCKytVpcFnI0oGS1ESK+ktyQHDTXaZQl4zQ+vIeFkbP3Tkq+dv9HGlGc0jgy4wWW1RCqC&#10;ozcVegJDG5AfuI4Sbjo0vUixQII3us1/z0AQu/21ieTAs1XKL9PGcX+15dlbDv3YV0pTm3EZRhbT&#10;TatmzUaVcrT37amIx3KGD1rQJ/NlxzzMMX74wW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BPz&#10;2XLYAAAADAEAAA8AAAAAAAAAAQAgAAAAIgAAAGRycy9kb3ducmV2LnhtbFBLAQIUABQAAAAIAIdO&#10;4kBamb986gEAALgDAAAOAAAAAAAAAAEAIAAAACcBAABkcnMvZTJvRG9jLnhtbFBLBQYAAAAABgAG&#10;AFkBAACDBQAAAAA=&#10;">
                <v:fill on="f" focussize="0,0"/>
                <v:stroke weight="1.5pt"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5518785</wp:posOffset>
                </wp:positionH>
                <wp:positionV relativeFrom="paragraph">
                  <wp:posOffset>1830705</wp:posOffset>
                </wp:positionV>
                <wp:extent cx="0" cy="351790"/>
                <wp:effectExtent l="53975" t="0" r="67945" b="13970"/>
                <wp:wrapNone/>
                <wp:docPr id="38" name="直接箭头连接符 38"/>
                <wp:cNvGraphicFramePr/>
                <a:graphic xmlns:a="http://schemas.openxmlformats.org/drawingml/2006/main">
                  <a:graphicData uri="http://schemas.microsoft.com/office/word/2010/wordprocessingShape">
                    <wps:wsp>
                      <wps:cNvCnPr/>
                      <wps:spPr>
                        <a:xfrm flipV="1">
                          <a:off x="0" y="0"/>
                          <a:ext cx="0" cy="351790"/>
                        </a:xfrm>
                        <a:prstGeom prst="straightConnector1">
                          <a:avLst/>
                        </a:prstGeom>
                        <a:noFill/>
                        <a:ln w="19050" cap="flat" cmpd="sng" algn="ctr">
                          <a:solidFill>
                            <a:srgbClr val="000000"/>
                          </a:solidFill>
                          <a:prstDash val="solid"/>
                          <a:headEnd type="arrow"/>
                          <a:tailEnd type="none"/>
                        </a:ln>
                        <a:effectLst/>
                      </wps:spPr>
                      <wps:bodyPr/>
                    </wps:wsp>
                  </a:graphicData>
                </a:graphic>
              </wp:anchor>
            </w:drawing>
          </mc:Choice>
          <mc:Fallback>
            <w:pict>
              <v:shape id="_x0000_s1026" o:spid="_x0000_s1026" o:spt="32" type="#_x0000_t32" style="position:absolute;left:0pt;flip:y;margin-left:434.55pt;margin-top:144.15pt;height:27.7pt;width:0pt;z-index:251683840;mso-width-relative:page;mso-height-relative:page;" filled="f" stroked="t" coordsize="21600,21600" o:gfxdata="UEsDBAoAAAAAAIdO4kAAAAAAAAAAAAAAAAAEAAAAZHJzL1BLAwQUAAAACACHTuJAxZll49YAAAAL&#10;AQAADwAAAGRycy9kb3ducmV2LnhtbE2PwU7DMAyG70i8Q2QkbizpAiOUujtMwJ0xwTVLQlutcUqT&#10;reXtCeLAjrY//f7+aj37np3cGLtACMVCAHNkgu2oQdi9Pd8oYDFpsroP5BC+XYR1fXlR6dKGiV7d&#10;aZsalkMolhqhTWkoOY+mdV7HRRgc5dtnGL1OeRwbbkc95XDf86UQK+51R/lDqwe3aZ05bI8ewbzf&#10;FYfNvIuzbL5ezPT0ITolEa+vCvEILLk5/cPwq5/Voc5O+3AkG1mPoFYPRUYRlkpJYJn42+wR5K28&#10;B15X/LxD/QNQSwMEFAAAAAgAh07iQHPj+mANAgAA+QMAAA4AAABkcnMvZTJvRG9jLnhtbK1TzW4T&#10;MRC+I/EOlu9kk1YFGmXTQ0K5IKjEz33itXct+U9jN5u8BC+AxAk4AafeeRooj8HYu4RSLj2wB2vG&#10;s/PNfN+MF2c7a9hWYtTe1Xw2mXImnfCNdm3NX786f/CYs5jANWC8kzXfy8jPlvfvLfowl0e+86aR&#10;yAjExXkfat6lFOZVFUUnLcSJD9JRUHm0kMjFtmoQekK3pjqaTh9WvccmoBcyRrpdD0E+IuJdAL1S&#10;Wsi1F5dWujSgojSQiFLsdIh8WbpVSor0QqkoEzM1J6apnFSE7E0+q+UC5i1C6LQYW4C7tHCLkwXt&#10;qOgBag0J2CXqf6CsFuijV2kivK0GIkURYjGb3tLmZQdBFi4kdQwH0eP/gxXPtxfIdFPzY5q7A0sT&#10;v3539ePtx+uvX75/uPr57X22P39iFCex+hDnlLNyFzh6MVxgZr5TaJkyOryhrSpaEDu2K1LvD1LL&#10;XWJiuBR0e3wye3RaplANCBkpYExPpbcsGzWPCUG3XVp552ieHgd02D6LiXqgxN8JOdn5c21MGatx&#10;rKdeTqcnNG0BtKuKdoRMG4hvdC1nYFp6BCJhaTh6o5ucnoEitpuVQbaFvDrlywJQub9+y7XXELvh&#10;vxIalqqT0DxxDUv7QJoCou+HQAJt/gQcPbIR17hcV5atHblluQeBs7Xxzb7oXmWPNqK0M25vXrmb&#10;Ptk3X+zy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WZZePWAAAACwEAAA8AAAAAAAAAAQAgAAAA&#10;IgAAAGRycy9kb3ducmV2LnhtbFBLAQIUABQAAAAIAIdO4kBz4/pgDQIAAPkDAAAOAAAAAAAAAAEA&#10;IAAAACUBAABkcnMvZTJvRG9jLnhtbFBLBQYAAAAABgAGAFkBAACkBQAAAAA=&#10;">
                <v:fill on="f" focussize="0,0"/>
                <v:stroke weight="1.5pt" color="#000000" joinstyle="round" start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7467600</wp:posOffset>
                </wp:positionH>
                <wp:positionV relativeFrom="paragraph">
                  <wp:posOffset>2497455</wp:posOffset>
                </wp:positionV>
                <wp:extent cx="10795" cy="481330"/>
                <wp:effectExtent l="52070" t="0" r="59055" b="6350"/>
                <wp:wrapNone/>
                <wp:docPr id="44" name="直接箭头连接符 44"/>
                <wp:cNvGraphicFramePr/>
                <a:graphic xmlns:a="http://schemas.openxmlformats.org/drawingml/2006/main">
                  <a:graphicData uri="http://schemas.microsoft.com/office/word/2010/wordprocessingShape">
                    <wps:wsp>
                      <wps:cNvCnPr/>
                      <wps:spPr>
                        <a:xfrm flipV="1">
                          <a:off x="0" y="0"/>
                          <a:ext cx="10795" cy="481330"/>
                        </a:xfrm>
                        <a:prstGeom prst="straightConnector1">
                          <a:avLst/>
                        </a:prstGeom>
                        <a:noFill/>
                        <a:ln w="19050" cap="flat" cmpd="sng" algn="ctr">
                          <a:solidFill>
                            <a:srgbClr val="000000"/>
                          </a:solidFill>
                          <a:prstDash val="solid"/>
                          <a:headEnd type="arrow"/>
                          <a:tailEnd type="none"/>
                        </a:ln>
                        <a:effectLst/>
                      </wps:spPr>
                      <wps:bodyPr/>
                    </wps:wsp>
                  </a:graphicData>
                </a:graphic>
              </wp:anchor>
            </w:drawing>
          </mc:Choice>
          <mc:Fallback>
            <w:pict>
              <v:shape id="_x0000_s1026" o:spid="_x0000_s1026" o:spt="32" type="#_x0000_t32" style="position:absolute;left:0pt;flip:y;margin-left:588pt;margin-top:196.65pt;height:37.9pt;width:0.85pt;z-index:251687936;mso-width-relative:page;mso-height-relative:page;" filled="f" stroked="t" coordsize="21600,21600" o:gfxdata="UEsDBAoAAAAAAIdO4kAAAAAAAAAAAAAAAAAEAAAAZHJzL1BLAwQUAAAACACHTuJAbo/dtdgAAAAN&#10;AQAADwAAAGRycy9kb3ducmV2LnhtbE2PMU/DMBSEdyT+g/WQ2KhtAkmbxulQATulgtW1X5Oo8XOI&#10;3Sb8e9wJxtOd7r6rNrPr2QXH0HlSIBcCGJLxtqNGwf7j9WEJLERNVveeUMEPBtjUtzeVLq2f6B0v&#10;u9iwVEKh1AraGIeS82BadDos/ICUvKMfnY5Jjg23o55Suev5oxA5d7qjtNDqAbctmtPu7BSYz2d5&#10;2s77MGfN95uZXr5Et8yUur+TYg0s4hz/wnDFT+hQJ6aDP5MNrE9aFnk6ExVkqywDdo3IoiiAHRQ8&#10;5SsJvK74/xf1L1BLAwQUAAAACACHTuJAgWjdtBQCAAD9AwAADgAAAGRycy9lMm9Eb2MueG1srVPN&#10;btNAEL4j8Q6rvRMnbQptFKeHhHJBEImf+2S9tlfaP81u4+QleAEkTsCpcOqdp4HyGMyuTSjl0gM+&#10;WLMezzfzffPt/HxnNNtKDMrZkk9GY86kFa5Stin5m9cXj045CxFsBdpZWfK9DPx88fDBvPMzeeRa&#10;pyuJjEBsmHW+5G2MflYUQbTSQBg5Ly0la4cGIh2xKSqEjtCNLo7G48dF57Dy6IQMgb6u+iQfEPE+&#10;gK6ulZArJy6NtLFHRakhEqXQKh/4Ik9b11LEl3UdZGS65MQ05jc1oXiT3sViDrMGwbdKDCPAfUa4&#10;w8mAstT0ALWCCOwS1T9QRgl0wdVxJJwpeiJZEWIxGd/R5lULXmYuJHXwB9HD/4MVL7ZrZKoq+XTK&#10;mQVDG795f/3j3aebr1++f7z++e1Diq8+M8qTWJ0PM6pZ2jUOp+DXmJjvajSs1sq/JVdlLYgd22Wp&#10;9wep5S4yQR8n4ydnJ5wJykxPJ8fHeRNFj5LQPIb4TDrDUlDyEBFU08als5Z26rDvANvnIdIcVPi7&#10;IBVbd6G0zqvVlnXU7Wx8QhsXQH6tyScUGk+cg204A93QRRAR89DBaVWl8gQUsNksNbItJPvkJ4lA&#10;7f76LfVeQWj7/3KqN1YroXpqKxb3nnQFRNf1iQhK/0lYumgDrrapr8zOHbglyXuRU7Rx1T5rX6QT&#10;uSKPMzg42e72meLbt3bx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6P3bXYAAAADQEAAA8AAAAA&#10;AAAAAQAgAAAAIgAAAGRycy9kb3ducmV2LnhtbFBLAQIUABQAAAAIAIdO4kCBaN20FAIAAP0DAAAO&#10;AAAAAAAAAAEAIAAAACcBAABkcnMvZTJvRG9jLnhtbFBLBQYAAAAABgAGAFkBAACtBQAAAAA=&#10;">
                <v:fill on="f" focussize="0,0"/>
                <v:stroke weight="1.5pt" color="#000000" joinstyle="round" start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6944995</wp:posOffset>
                </wp:positionH>
                <wp:positionV relativeFrom="paragraph">
                  <wp:posOffset>2164715</wp:posOffset>
                </wp:positionV>
                <wp:extent cx="1010920" cy="314325"/>
                <wp:effectExtent l="9525" t="0" r="15875" b="11430"/>
                <wp:wrapNone/>
                <wp:docPr id="18" name="文本框 18"/>
                <wp:cNvGraphicFramePr/>
                <a:graphic xmlns:a="http://schemas.openxmlformats.org/drawingml/2006/main">
                  <a:graphicData uri="http://schemas.microsoft.com/office/word/2010/wordprocessingShape">
                    <wps:wsp>
                      <wps:cNvSpPr txBox="1"/>
                      <wps:spPr>
                        <a:xfrm>
                          <a:off x="0" y="0"/>
                          <a:ext cx="1010920" cy="314325"/>
                        </a:xfrm>
                        <a:prstGeom prst="rect">
                          <a:avLst/>
                        </a:prstGeom>
                        <a:solidFill>
                          <a:srgbClr val="FFFFFF"/>
                        </a:solidFill>
                        <a:ln w="19050">
                          <a:solidFill>
                            <a:prstClr val="black"/>
                          </a:solidFill>
                        </a:ln>
                        <a:effectLst/>
                      </wps:spPr>
                      <wps:txbx>
                        <w:txbxContent>
                          <w:p>
                            <w:pPr>
                              <w:jc w:val="center"/>
                            </w:pPr>
                            <w:r>
                              <w:rPr>
                                <w:rFonts w:hint="eastAsia" w:eastAsia="仿宋"/>
                                <w:b/>
                                <w:bCs/>
                                <w:kern w:val="0"/>
                                <w:sz w:val="24"/>
                                <w:szCs w:val="24"/>
                              </w:rPr>
                              <w:t>综合组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6.85pt;margin-top:170.45pt;height:24.75pt;width:79.6pt;z-index:251672576;mso-width-relative:page;mso-height-relative:page;" fillcolor="#FFFFFF" filled="t" stroked="t" coordsize="21600,21600" o:gfxdata="UEsDBAoAAAAAAIdO4kAAAAAAAAAAAAAAAAAEAAAAZHJzL1BLAwQUAAAACACHTuJAwe0dh9kAAAAN&#10;AQAADwAAAGRycy9kb3ducmV2LnhtbE2PzU7DMBCE70i8g7VI3KjdNIUmjdMDEjnTH8TVibdxRGxH&#10;sZumb8/2BLed3dHsN8Vutj2bcAyddxKWCwEMXeN151oJp+PHywZYiMpp1XuHEm4YYFc+PhQq1/7q&#10;9jgdYssoxIVcSTAxDjnnoTFoVVj4AR3dzn60KpIcW65HdaVw2/NEiFduVefog1EDvhtsfg4XK2Ed&#10;vj/T6VZ3pt18Vbya7T49VlI+Py3FFljEOf6Z4Y5P6FASU+0vTgfWkxbZ6o28ElapyIDdLck6oamm&#10;VSZS4GXB/7cofwFQSwMEFAAAAAgAh07iQAnHoTFdAgAAyAQAAA4AAABkcnMvZTJvRG9jLnhtbK1U&#10;zW4TMRC+I/EOlu90k5ACjbqpQqsgpIpWKoiz4/VmLfyH7WS3PAC8AScu3HmuPgefvZv0j0MP7ME7&#10;9sx+M/P5mz0+6bQiW+GDtKak44MRJcJwW0mzLumnj8sXbygJkZmKKWtESa9FoCfz58+OWzcTE9tY&#10;VQlPAGLCrHUlbWJ0s6IIvBGahQPrhIGztl6ziK1fF5VnLdC1Kiaj0auitb5y3nIRAk7PeicdEP1T&#10;AG1dSy7OLN9oYWKP6oViES2FRrpA57nauhY8XtR1EJGokqLTmFckgb1KazE/ZrO1Z66RfCiBPaWE&#10;Bz1pJg2S7qHOWGRk4+UjKC25t8HW8YBbXfSNZEbQxXj0gJurhjmRewHVwe1JD/8Pln/YXnoiKygB&#10;926Yxo3f/Pxx8+vPze/vBGcgqHVhhrgrh8jYvbUdgnfnAYep7672Or3REYEf9F7v6RVdJDx9hA6P&#10;JnBx+F6Opy8nhwmmuP3a+RDfCatJMkrqcX2ZVbY9D7EP3YWkZMEqWS2lUnnj16tT5cmW4aqX+RnQ&#10;74UpQ1qUcjQ6HGXoe84EvsdYKca/PIZAucqkhCLLaygscdRzkazYrbqBuJWtrsGbt730guNLiSzn&#10;LMRL5qE18IFpjBdYamVRmx0sShrrv/3rPMVDAvBS0kK7JQ1fN8wLStR7A3EcjadTwMa8mR6+Tpz7&#10;u57VXY/Z6FMLzsaYe8ezmeKj2pm1t/ozhnaRssLFDEfuksadeRr7icLQc7FY5CDI27F4bq4cT9CJ&#10;MGMXm2hrmW8y0dRzAwWkDQSetTAMY5qgu/scdfsDmv8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we0dh9kAAAANAQAADwAAAAAAAAABACAAAAAiAAAAZHJzL2Rvd25yZXYueG1sUEsBAhQAFAAAAAgA&#10;h07iQAnHoTFdAgAAyAQAAA4AAAAAAAAAAQAgAAAAKAEAAGRycy9lMm9Eb2MueG1sUEsFBgAAAAAG&#10;AAYAWQEAAPcFAAAAAA==&#10;">
                <v:fill on="t" focussize="0,0"/>
                <v:stroke weight="1.5pt" color="#000000" joinstyle="round"/>
                <v:imagedata o:title=""/>
                <o:lock v:ext="edit" aspectratio="f"/>
                <v:textbox>
                  <w:txbxContent>
                    <w:p>
                      <w:pPr>
                        <w:jc w:val="center"/>
                      </w:pPr>
                      <w:r>
                        <w:rPr>
                          <w:rFonts w:hint="eastAsia" w:eastAsia="仿宋"/>
                          <w:b/>
                          <w:bCs/>
                          <w:kern w:val="0"/>
                          <w:sz w:val="24"/>
                          <w:szCs w:val="24"/>
                        </w:rPr>
                        <w:t>综合组</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2719070</wp:posOffset>
                </wp:positionH>
                <wp:positionV relativeFrom="paragraph">
                  <wp:posOffset>2950210</wp:posOffset>
                </wp:positionV>
                <wp:extent cx="962025" cy="1504950"/>
                <wp:effectExtent l="9525" t="0" r="19050" b="9525"/>
                <wp:wrapNone/>
                <wp:docPr id="29" name="文本框 29"/>
                <wp:cNvGraphicFramePr/>
                <a:graphic xmlns:a="http://schemas.openxmlformats.org/drawingml/2006/main">
                  <a:graphicData uri="http://schemas.microsoft.com/office/word/2010/wordprocessingShape">
                    <wps:wsp>
                      <wps:cNvSpPr txBox="1"/>
                      <wps:spPr>
                        <a:xfrm>
                          <a:off x="0" y="0"/>
                          <a:ext cx="962025" cy="1504950"/>
                        </a:xfrm>
                        <a:prstGeom prst="rect">
                          <a:avLst/>
                        </a:prstGeom>
                        <a:solidFill>
                          <a:srgbClr val="FFFFFF"/>
                        </a:solidFill>
                        <a:ln w="19050">
                          <a:solidFill>
                            <a:prstClr val="black"/>
                          </a:solidFill>
                        </a:ln>
                        <a:effectLst/>
                      </wps:spPr>
                      <wps:txbx>
                        <w:txbxContent>
                          <w:p>
                            <w:pPr>
                              <w:jc w:val="center"/>
                            </w:pPr>
                            <w:r>
                              <w:rPr>
                                <w:lang w:val="zh-CN"/>
                              </w:rPr>
                              <w:t>由自来水厂、供水公司、各水库管理局等相关部门组成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4.1pt;margin-top:232.3pt;height:118.5pt;width:75.75pt;z-index:251676672;mso-width-relative:page;mso-height-relative:page;" fillcolor="#FFFFFF" filled="t" stroked="t" coordsize="21600,21600" o:gfxdata="UEsDBAoAAAAAAIdO4kAAAAAAAAAAAAAAAAAEAAAAZHJzL1BLAwQUAAAACACHTuJArm2jktgAAAAL&#10;AQAADwAAAGRycy9kb3ducmV2LnhtbE2Py26DMBBF95X6D9ZU6q6xQQQowWRRqaybR9WtwS6g4DHC&#10;DiF/3+mq3c1oju6cW+5XO7LFzH5wKCHaCGAGW6cH7CScT+8vOTAfFGo1OjQS7sbDvnp8KFWh3Q0P&#10;ZjmGjlEI+kJJ6EOYCs592xur/MZNBun27WarAq1zx/WsbhRuRx4LkXKrBqQPvZrMW2/ay/FqJWz9&#10;10ey3Juh7/LPmterPSSnWsrnp0jsgAWzhj8YfvVJHSpyatwVtWejhCTOY0JpSJMUGBHb7DUD1kjI&#10;RJQCr0r+v0P1A1BLAwQUAAAACACHTuJAgqKCd2ACAADIBAAADgAAAGRycy9lMm9Eb2MueG1srVTN&#10;bhMxEL4j8Q6W73Q3UVJI1E0VEgUhVbRSQZwdrzdr4bWN7WS3PAC8QU9cuPNcfQ4+e5O0tBx6IAdn&#10;/vzNzOeZPTvvGkV2wnlpdEEHJzklQnNTSr0p6KePq1dvKPGB6ZIpo0VBb4Sn57OXL85aOxVDUxtV&#10;CkcAov20tQWtQ7DTLPO8Fg3zJ8YKDWdlXMMCVLfJSsdaoDcqG+b5adYaV1pnuPAe1mXvpHtE9xxA&#10;U1WSi6Xh20bo0KM6oVhAS76W1tNZqraqBA+XVeVFIKqg6DSkE0kgr+OZzc7YdOOYrSXfl8CeU8Kj&#10;nhomNZIeoZYsMLJ18glUI7kz3lThhJsm6xtJjKCLQf6Im+uaWZF6AdXeHkn3/w+Wf9hdOSLLgg4n&#10;lGjW4MXvbn/c/fx99+s7gQ0EtdZPEXdtERm6t6bD2BzsHsbYd1e5Jv6jIwI/6L050iu6QDiMk9Nh&#10;PhxTwuEajPPRZJz4z+5vW+fDO2EaEoWCOjxfYpXtLnxAJQg9hMRk3ihZrqRSSXGb9UI5smN46lX6&#10;xSJx5a8wpUmL9JMcyZ9gRPAjxlox/uUpBACVjjdFGq99YZGjnosohW7d7Ylbm/IGvDnTj563fCWR&#10;5YL5cMUcZg1UYRvDJY5KGdRm9hIltXHf/mWP8RgBeClpMbsF9V+3zAlK1HuN4ZgMRqM47EkZjV8P&#10;obiHnvVDj942CwPOBth7y5MY44M6iJUzzWcs7TxmhYtpjtwFDQdxEfqNwtJzMZ+nIIy3ZeFCX1se&#10;oSNh2sy3wVQyvWSkqecGbxQVDHh6rf0yxg16qKeo+w/Q7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ubaOS2AAAAAsBAAAPAAAAAAAAAAEAIAAAACIAAABkcnMvZG93bnJldi54bWxQSwECFAAUAAAA&#10;CACHTuJAgqKCd2ACAADIBAAADgAAAAAAAAABACAAAAAnAQAAZHJzL2Uyb0RvYy54bWxQSwUGAAAA&#10;AAYABgBZAQAA+QUAAAAA&#10;">
                <v:fill on="t" focussize="0,0"/>
                <v:stroke weight="1.5pt" color="#000000" joinstyle="round"/>
                <v:imagedata o:title=""/>
                <o:lock v:ext="edit" aspectratio="f"/>
                <v:textbox>
                  <w:txbxContent>
                    <w:p>
                      <w:pPr>
                        <w:jc w:val="center"/>
                      </w:pPr>
                      <w:r>
                        <w:rPr>
                          <w:lang w:val="zh-CN"/>
                        </w:rPr>
                        <w:t>由自来水厂、供水公司、各水库管理局等相关部门组成</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1737995</wp:posOffset>
                </wp:positionH>
                <wp:positionV relativeFrom="paragraph">
                  <wp:posOffset>2959735</wp:posOffset>
                </wp:positionV>
                <wp:extent cx="912495" cy="1076325"/>
                <wp:effectExtent l="9525" t="0" r="22860" b="11430"/>
                <wp:wrapNone/>
                <wp:docPr id="28" name="文本框 28"/>
                <wp:cNvGraphicFramePr/>
                <a:graphic xmlns:a="http://schemas.openxmlformats.org/drawingml/2006/main">
                  <a:graphicData uri="http://schemas.microsoft.com/office/word/2010/wordprocessingShape">
                    <wps:wsp>
                      <wps:cNvSpPr txBox="1"/>
                      <wps:spPr>
                        <a:xfrm>
                          <a:off x="0" y="0"/>
                          <a:ext cx="912495" cy="1076325"/>
                        </a:xfrm>
                        <a:prstGeom prst="rect">
                          <a:avLst/>
                        </a:prstGeom>
                        <a:solidFill>
                          <a:srgbClr val="FFFFFF"/>
                        </a:solidFill>
                        <a:ln w="19050">
                          <a:solidFill>
                            <a:prstClr val="black"/>
                          </a:solidFill>
                        </a:ln>
                        <a:effectLst/>
                      </wps:spPr>
                      <wps:txbx>
                        <w:txbxContent>
                          <w:p>
                            <w:pPr>
                              <w:jc w:val="center"/>
                            </w:pPr>
                            <w:r>
                              <w:rPr>
                                <w:color w:val="auto"/>
                                <w:lang w:val="zh-CN"/>
                              </w:rPr>
                              <w:t>由区生态环境局、卫生健康局</w:t>
                            </w:r>
                            <w:r>
                              <w:rPr>
                                <w:lang w:val="zh-CN"/>
                              </w:rPr>
                              <w:t>等相关部门组成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6.85pt;margin-top:233.05pt;height:84.75pt;width:71.85pt;z-index:251675648;mso-width-relative:page;mso-height-relative:page;" fillcolor="#FFFFFF" filled="t" stroked="t" coordsize="21600,21600" o:gfxdata="UEsDBAoAAAAAAIdO4kAAAAAAAAAAAAAAAAAEAAAAZHJzL1BLAwQUAAAACACHTuJArEyXvdgAAAAL&#10;AQAADwAAAGRycy9kb3ducmV2LnhtbE2PwW6DMBBE75X6D9ZW6q0xJMREBJNDpXJukla9GrzFKHiN&#10;sEPI39c9tcfVPM28LQ+LHdiMk+8dSUhXCTCk1umeOgkf57eXHTAfFGk1OEIJd/RwqB4fSlVod6Mj&#10;zqfQsVhCvlASTAhjwblvDVrlV25Eitm3m6wK8Zw6rid1i+V24OskEdyqnuKCUSO+Gmwvp6uVsPVf&#10;79l8b3rT7T5rXi/2mJ1rKZ+f0mQPLOAS/mD41Y/qUEWnxl1JezZIWOebPKISMiFSYJHI0jwD1kgQ&#10;m60AXpX8/w/VD1BLAwQUAAAACACHTuJAGDMOFWACAADIBAAADgAAAGRycy9lMm9Eb2MueG1srVTB&#10;bhMxEL0j8Q+W73Q3IWlJ1E0VUgUhVbRSQJwdrzdrYXuM7WS3fAD8AScu3Pmufgdj7yZNWw49kIMz&#10;45m8mXl+k/OLViuyE85LMAUdnOSUCMOhlGZT0E8fl6/eUOIDMyVTYERBb4WnF7OXL84bOxVDqEGV&#10;whEEMX7a2ILWIdhplnleC838CVhhMFiB0yyg6zZZ6ViD6Fplwzw/zRpwpXXAhfd4e9kFaY/ongMI&#10;VSW5uAS+1cKEDtUJxQKO5GtpPZ2lbqtK8HBdVV4EogqKk4Z0YhG01/HMZudsunHM1pL3LbDntPBo&#10;Js2kwaIHqEsWGNk6+QRKS+7AQxVOOOisGyQxglMM8kfcrGpmRZoFqfb2QLr/f7D8w+7GEVkWdIjv&#10;bpjGF7/7+ePu15+7398J3iFBjfVTzFtZzAztW2hRNvt7j5dx7rZyOn7jRATjSO/tgV7RBsLxcjIY&#10;jiZjSjiGBvnZ6evhOMJk97+2zod3AjSJRkEdPl9ile2ufOhS9ymxmAcly6VUKjlus14oR3YMn3qZ&#10;Pj36gzRlSIPlJ/k4T9APghH8gLFWjH95CoHtKhMLiiSvvrHIUcdFtEK7bnvi1lDeIm8OOul5y5cS&#10;q1wxH26YQ60hVbiN4RqPSgH2Br1FSQ3u27/uYz5KAKOUNKjdgvqvW+YEJeq9QXFMBqNRFHtyRuOz&#10;ITruOLI+jpitXgByNsC9tzyZMT+ovVk50J9xaeexKoaY4Vi7oGFvLkK3Ubj0XMznKQnlbVm4MivL&#10;I3QkzMB8G6CS6SUjTR03qIDooMCTFvpljBt07Kes+z+g2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sTJe92AAAAAsBAAAPAAAAAAAAAAEAIAAAACIAAABkcnMvZG93bnJldi54bWxQSwECFAAUAAAA&#10;CACHTuJAGDMOFWACAADIBAAADgAAAAAAAAABACAAAAAnAQAAZHJzL2Uyb0RvYy54bWxQSwUGAAAA&#10;AAYABgBZAQAA+QUAAAAA&#10;">
                <v:fill on="t" focussize="0,0"/>
                <v:stroke weight="1.5pt" color="#000000" joinstyle="round"/>
                <v:imagedata o:title=""/>
                <o:lock v:ext="edit" aspectratio="f"/>
                <v:textbox>
                  <w:txbxContent>
                    <w:p>
                      <w:pPr>
                        <w:jc w:val="center"/>
                      </w:pPr>
                      <w:r>
                        <w:rPr>
                          <w:color w:val="auto"/>
                          <w:lang w:val="zh-CN"/>
                        </w:rPr>
                        <w:t>由区生态环境局、卫生健康局</w:t>
                      </w:r>
                      <w:r>
                        <w:rPr>
                          <w:lang w:val="zh-CN"/>
                        </w:rPr>
                        <w:t>等相关部门组成</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4343400</wp:posOffset>
                </wp:positionH>
                <wp:positionV relativeFrom="paragraph">
                  <wp:posOffset>2725420</wp:posOffset>
                </wp:positionV>
                <wp:extent cx="3810" cy="243840"/>
                <wp:effectExtent l="52705" t="0" r="65405" b="0"/>
                <wp:wrapNone/>
                <wp:docPr id="48" name="直接箭头连接符 48"/>
                <wp:cNvGraphicFramePr/>
                <a:graphic xmlns:a="http://schemas.openxmlformats.org/drawingml/2006/main">
                  <a:graphicData uri="http://schemas.microsoft.com/office/word/2010/wordprocessingShape">
                    <wps:wsp>
                      <wps:cNvCnPr/>
                      <wps:spPr>
                        <a:xfrm flipV="1">
                          <a:off x="0" y="0"/>
                          <a:ext cx="3810" cy="243840"/>
                        </a:xfrm>
                        <a:prstGeom prst="straightConnector1">
                          <a:avLst/>
                        </a:prstGeom>
                        <a:noFill/>
                        <a:ln w="19050" cap="flat" cmpd="sng" algn="ctr">
                          <a:solidFill>
                            <a:srgbClr val="000000"/>
                          </a:solidFill>
                          <a:prstDash val="solid"/>
                          <a:headEnd type="arrow"/>
                          <a:tailEnd type="none"/>
                        </a:ln>
                        <a:effectLst/>
                      </wps:spPr>
                      <wps:bodyPr/>
                    </wps:wsp>
                  </a:graphicData>
                </a:graphic>
              </wp:anchor>
            </w:drawing>
          </mc:Choice>
          <mc:Fallback>
            <w:pict>
              <v:shape id="_x0000_s1026" o:spid="_x0000_s1026" o:spt="32" type="#_x0000_t32" style="position:absolute;left:0pt;flip:y;margin-left:342pt;margin-top:214.6pt;height:19.2pt;width:0.3pt;z-index:251691008;mso-width-relative:page;mso-height-relative:page;" filled="f" stroked="t" coordsize="21600,21600" o:gfxdata="UEsDBAoAAAAAAIdO4kAAAAAAAAAAAAAAAAAEAAAAZHJzL1BLAwQUAAAACACHTuJAgI7YQ9cAAAAL&#10;AQAADwAAAGRycy9kb3ducmV2LnhtbE2PwU7DMBBE70j8g7VI3KidtJg0xOmhAu6UCq6u7SZR43WI&#10;3Sb8PcuJHnd2NPOm2sy+Zxc3xi6ggmwhgDk0wXbYKNh/vD4UwGLSaHUf0Cn4cRE29e1NpUsbJnx3&#10;l11qGIVgLLWCNqWh5Dya1nkdF2FwSL9jGL1OdI4Nt6OeKNz3PBdCcq87pIZWD27bOnPanb0C8/mY&#10;nbbzPs7L5vvNTC9foiuWSt3fZeIZWHJz+jfDHz6hQ01Mh3BGG1mvQBYr2pIUrPJ1DowcpEhgB1Lk&#10;kwReV/x6Q/0LUEsDBBQAAAAIAIdO4kC+MrqWEQIAAPwDAAAOAAAAZHJzL2Uyb0RvYy54bWytU82O&#10;0zAQviPxDpbvNG23oFI13UPLckFQiZ+76ziJJf9pxtu0L8ELIHECTsBp7zwNLI/B2AllWS57IIdo&#10;nMl8M983n5fnB2vYXgFq70o+GY05U076Srum5K9fXTyYc4ZRuEoY71TJjwr5+er+vWUXFmrqW28q&#10;BYxAHC66UPI2xrAoCpStsgJHPihHydqDFZGO0BQViI7QrSmm4/GjovNQBfBSIdLXTZ/kAyLcBdDX&#10;tZZq4+WlVS72qKCMiEQJWx2Qr/K0da1kfFHXqCIzJSemMb+pCcW79C5WS7FoQIRWy2EEcZcRbnGy&#10;QjtqeoLaiCjYJeh/oKyW4NHXcSS9LXoiWRFiMRnf0uZlK4LKXEhqDCfR8f/Byuf7LTBdlXxGe3fC&#10;0sav3139ePvx+uuX7x+ufn57n+LPnxjlSawu4IJq1m4LwwnDFhLzQw2W1UaHN+SqrAWxY4cs9fEk&#10;tTpEJunj2XxCK5CUmM7O5rO8iKIHSWABMD5V3rIUlBwjCN20ce2do5V66BuI/TOMNAYV/i5Ixc5f&#10;aGPyZo1jHY3zePwwdRNk15psQqENRBldw5kwDd0DGSHPjN7oKpUnIIRmtzbA9iK5Jz9JA2r312+p&#10;90Zg2/+XU72vWiWqJ65i8RhIVgHguz4RhTZ/Eo7u2YBrXOqrsnEHbknxXuMU7Xx1zNIX6USmyOMM&#10;Bk6uu3mm+OalXf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I7YQ9cAAAALAQAADwAAAAAAAAAB&#10;ACAAAAAiAAAAZHJzL2Rvd25yZXYueG1sUEsBAhQAFAAAAAgAh07iQL4yupYRAgAA/AMAAA4AAAAA&#10;AAAAAQAgAAAAJgEAAGRycy9lMm9Eb2MueG1sUEsFBgAAAAAGAAYAWQEAAKkFAAAAAA==&#10;">
                <v:fill on="f" focussize="0,0"/>
                <v:stroke weight="1.5pt" color="#000000" joinstyle="round" start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2204085</wp:posOffset>
                </wp:positionH>
                <wp:positionV relativeFrom="paragraph">
                  <wp:posOffset>1859280</wp:posOffset>
                </wp:positionV>
                <wp:extent cx="6985" cy="275590"/>
                <wp:effectExtent l="51435" t="0" r="63500" b="13970"/>
                <wp:wrapNone/>
                <wp:docPr id="35" name="直接箭头连接符 35"/>
                <wp:cNvGraphicFramePr/>
                <a:graphic xmlns:a="http://schemas.openxmlformats.org/drawingml/2006/main">
                  <a:graphicData uri="http://schemas.microsoft.com/office/word/2010/wordprocessingShape">
                    <wps:wsp>
                      <wps:cNvCnPr/>
                      <wps:spPr>
                        <a:xfrm flipV="1">
                          <a:off x="0" y="0"/>
                          <a:ext cx="6985" cy="275590"/>
                        </a:xfrm>
                        <a:prstGeom prst="straightConnector1">
                          <a:avLst/>
                        </a:prstGeom>
                        <a:noFill/>
                        <a:ln w="19050" cap="flat" cmpd="sng" algn="ctr">
                          <a:solidFill>
                            <a:srgbClr val="000000"/>
                          </a:solidFill>
                          <a:prstDash val="solid"/>
                          <a:headEnd type="arrow"/>
                          <a:tailEnd type="none"/>
                        </a:ln>
                        <a:effectLst/>
                      </wps:spPr>
                      <wps:bodyPr/>
                    </wps:wsp>
                  </a:graphicData>
                </a:graphic>
              </wp:anchor>
            </w:drawing>
          </mc:Choice>
          <mc:Fallback>
            <w:pict>
              <v:shape id="_x0000_s1026" o:spid="_x0000_s1026" o:spt="32" type="#_x0000_t32" style="position:absolute;left:0pt;flip:y;margin-left:173.55pt;margin-top:146.4pt;height:21.7pt;width:0.55pt;z-index:251680768;mso-width-relative:page;mso-height-relative:page;" filled="f" stroked="t" coordsize="21600,21600" o:gfxdata="UEsDBAoAAAAAAIdO4kAAAAAAAAAAAAAAAAAEAAAAZHJzL1BLAwQUAAAACACHTuJAExKSnNgAAAAL&#10;AQAADwAAAGRycy9kb3ducmV2LnhtbE2PwU7DMAyG70i8Q2QkbixpM0ZXmu4wAXfGBNcsydpqjVOa&#10;bC1vjzmxmy1/+v391Wb2Pbu4MXYBFWQLAcyhCbbDRsH+4/WhABaTRqv7gE7Bj4uwqW9vKl3aMOG7&#10;u+xSwygEY6kVtCkNJefRtM7ruAiDQ7odw+h1onVsuB31ROG+57kQK+51h/Sh1YPbts6cdmevwHw+&#10;ZqftvI+zbL7fzPTyJbpCKnV/l4lnYMnN6R+GP31Sh5qcDuGMNrJegVw+ZYQqyNc5dSBCLosc2IEG&#10;ucqB1xW/7lD/AlBLAwQUAAAACACHTuJAz0azLRICAAD8AwAADgAAAGRycy9lMm9Eb2MueG1srVPN&#10;jtMwEL4j8Q6W7zTdoi7bqukeWpYLgkr83KeOk1jyn8bepn0JXgCJE3BiOe2dp4HlMRg7oSzLZQ/k&#10;EI0zmW/m++bz4nxvNNtJDMrZkp+MxpxJK1ylbFPyN68vHp1xFiLYCrSzsuQHGfj58uGDRefncuJa&#10;pyuJjEBsmHe+5G2Mfl4UQbTSQBg5Ly0la4cGIh2xKSqEjtCNLibj8WnROaw8OiFDoK/rPskHRLwP&#10;oKtrJeTaiUsjbexRUWqIRCm0yge+zNPWtRTxZV0HGZkuOTGN+U1NKN6md7FcwLxB8K0SwwhwnxHu&#10;cDKgLDU9Qq0hArtE9Q+UUQJdcHUcCWeKnkhWhFicjO9o86oFLzMXkjr4o+jh/8GKF7sNMlWV/PGU&#10;MwuGNn7z/vrHu083X6++f7z++e1Dir98ZpQnsTof5lSzshscTsFvMDHf12hYrZV/S67KWhA7ts9S&#10;H45Sy31kgj6ezs6on6DE5Ml0OsuLKHqQBOYxxGfSGZaCkoeIoJo2rpy1tFKHfQPYPQ+RxqDC3wWp&#10;2LoLpXXerLaso3Fm4yktXADZtSabUGg8UQ624Qx0Q/dARMwzB6dVlcoTUMBmu9LIdpDck5+kAbX7&#10;67fUew2h7f/Lqd5XrYTqqa1YPHiSFRBd1yciKP0nYemeDbjapr4yG3fglhTvNU7R1lWHLH2RTmSK&#10;PM5g4OS622eKb1/a5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EpKc2AAAAAsBAAAPAAAAAAAA&#10;AAEAIAAAACIAAABkcnMvZG93bnJldi54bWxQSwECFAAUAAAACACHTuJAz0azLRICAAD8AwAADgAA&#10;AAAAAAABACAAAAAnAQAAZHJzL2Uyb0RvYy54bWxQSwUGAAAAAAYABgBZAQAAqwUAAAAA&#10;">
                <v:fill on="f" focussize="0,0"/>
                <v:stroke weight="1.5pt" color="#000000" joinstyle="round" start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3232785</wp:posOffset>
                </wp:positionH>
                <wp:positionV relativeFrom="paragraph">
                  <wp:posOffset>1859280</wp:posOffset>
                </wp:positionV>
                <wp:extent cx="6985" cy="275590"/>
                <wp:effectExtent l="51435" t="0" r="63500" b="13970"/>
                <wp:wrapNone/>
                <wp:docPr id="36" name="直接箭头连接符 36"/>
                <wp:cNvGraphicFramePr/>
                <a:graphic xmlns:a="http://schemas.openxmlformats.org/drawingml/2006/main">
                  <a:graphicData uri="http://schemas.microsoft.com/office/word/2010/wordprocessingShape">
                    <wps:wsp>
                      <wps:cNvCnPr/>
                      <wps:spPr>
                        <a:xfrm flipV="1">
                          <a:off x="0" y="0"/>
                          <a:ext cx="6985" cy="275590"/>
                        </a:xfrm>
                        <a:prstGeom prst="straightConnector1">
                          <a:avLst/>
                        </a:prstGeom>
                        <a:noFill/>
                        <a:ln w="19050" cap="flat" cmpd="sng" algn="ctr">
                          <a:solidFill>
                            <a:srgbClr val="000000"/>
                          </a:solidFill>
                          <a:prstDash val="solid"/>
                          <a:headEnd type="arrow"/>
                          <a:tailEnd type="none"/>
                        </a:ln>
                        <a:effectLst/>
                      </wps:spPr>
                      <wps:bodyPr/>
                    </wps:wsp>
                  </a:graphicData>
                </a:graphic>
              </wp:anchor>
            </w:drawing>
          </mc:Choice>
          <mc:Fallback>
            <w:pict>
              <v:shape id="_x0000_s1026" o:spid="_x0000_s1026" o:spt="32" type="#_x0000_t32" style="position:absolute;left:0pt;flip:y;margin-left:254.55pt;margin-top:146.4pt;height:21.7pt;width:0.55pt;z-index:251681792;mso-width-relative:page;mso-height-relative:page;" filled="f" stroked="t" coordsize="21600,21600" o:gfxdata="UEsDBAoAAAAAAIdO4kAAAAAAAAAAAAAAAAAEAAAAZHJzL1BLAwQUAAAACACHTuJAUv1F69cAAAAL&#10;AQAADwAAAGRycy9kb3ducmV2LnhtbE2Py07DMBBF90j8gzVI7KgfUao2xOmiAvaUCraubZKo8TjE&#10;bhP+nmEFy9Ec3XtuvVvCwK5+Sn1EDXIlgHm00fXYaji+PT9sgKVs0Jkhotfw7RPsmtub2lQuzvjq&#10;r4fcMgrBVBkNXc5jxXmynQ8mreLokX6fcQom0zm13E1mpvAwcCXEmgfTIzV0ZvT7ztvz4RI02PdS&#10;nvfLMS1F+/Vi56cP0W8Kre/vpHgElv2S/2D41Sd1aMjpFC/oEhs0lGIrCdWgtoo2EFFKoYCdNBTF&#10;WgFvav5/Q/MDUEsDBBQAAAAIAIdO4kAoo82jEwIAAPwDAAAOAAAAZHJzL2Uyb0RvYy54bWytU82O&#10;0zAQviPxDpbvNN1FLduq6R5alguCSvzcXcdJLPlPM96mfQleAIkTcGI57Z2ngeUxGDuhLMtlD+QQ&#10;jTOZb+b75vPifG8N2ylA7V3JT0ZjzpSTvtKuKfmb1xePzjjDKFwljHeq5AeF/Hz58MGiC3N16ltv&#10;KgWMQBzOu1DyNsYwLwqUrbICRz4oR8nagxWRjtAUFYiO0K0pTsfjadF5qAJ4qRDp67pP8gER7gPo&#10;61pLtfby0ioXe1RQRkSihK0OyJd52rpWMr6sa1SRmZIT05jf1ITibXoXy4WYNyBCq+UwgrjPCHc4&#10;WaEdNT1CrUUU7BL0P1BWS/Do6ziS3hY9kawIsTgZ39HmVSuCylxIagxH0fH/wcoXuw0wXZX88ZQz&#10;Jyxt/Ob99Y93n26+Xn3/eP3z24cUf/nMKE9idQHnVLNyGxhOGDaQmO9rsKw2OrwlV2UtiB3bZ6kP&#10;R6nVPjJJH6ezswlnkhKnTyaTWV5E0YMksAAYnylvWQpKjhGEbtq48s7RSj30DcTuOUYagwp/F6Ri&#10;5y+0MXmzxrGOxpmNJ7RwKciuNdmEQhuIMrqGM2EaugcyQp4ZvdFVKk9ACM12ZYDtRHJPfpIG1O6v&#10;31LvtcC2/y+nel+1SlRPXcXiIZCsAsB3fSIKbf4kHN2zAde41Fdl4w7ckuK9xina+uqQpS/SiUyR&#10;xxkMnFx3+0zx7Uu7/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S/UXr1wAAAAsBAAAPAAAAAAAA&#10;AAEAIAAAACIAAABkcnMvZG93bnJldi54bWxQSwECFAAUAAAACACHTuJAKKPNoxMCAAD8AwAADgAA&#10;AAAAAAABACAAAAAmAQAAZHJzL2Uyb0RvYy54bWxQSwUGAAAAAAYABgBZAQAAqwUAAAAA&#10;">
                <v:fill on="f" focussize="0,0"/>
                <v:stroke weight="1.5pt" color="#000000" joinstyle="round" start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9984" behindDoc="0" locked="0" layoutInCell="1" allowOverlap="1">
                <wp:simplePos x="0" y="0"/>
                <wp:positionH relativeFrom="column">
                  <wp:posOffset>3228975</wp:posOffset>
                </wp:positionH>
                <wp:positionV relativeFrom="paragraph">
                  <wp:posOffset>2706370</wp:posOffset>
                </wp:positionV>
                <wp:extent cx="3810" cy="243840"/>
                <wp:effectExtent l="52705" t="0" r="65405" b="0"/>
                <wp:wrapNone/>
                <wp:docPr id="46" name="直接箭头连接符 46"/>
                <wp:cNvGraphicFramePr/>
                <a:graphic xmlns:a="http://schemas.openxmlformats.org/drawingml/2006/main">
                  <a:graphicData uri="http://schemas.microsoft.com/office/word/2010/wordprocessingShape">
                    <wps:wsp>
                      <wps:cNvCnPr/>
                      <wps:spPr>
                        <a:xfrm flipV="1">
                          <a:off x="0" y="0"/>
                          <a:ext cx="3810" cy="243840"/>
                        </a:xfrm>
                        <a:prstGeom prst="straightConnector1">
                          <a:avLst/>
                        </a:prstGeom>
                        <a:noFill/>
                        <a:ln w="19050" cap="flat" cmpd="sng" algn="ctr">
                          <a:solidFill>
                            <a:srgbClr val="000000"/>
                          </a:solidFill>
                          <a:prstDash val="solid"/>
                          <a:headEnd type="arrow"/>
                          <a:tailEnd type="none"/>
                        </a:ln>
                        <a:effectLst/>
                      </wps:spPr>
                      <wps:bodyPr/>
                    </wps:wsp>
                  </a:graphicData>
                </a:graphic>
              </wp:anchor>
            </w:drawing>
          </mc:Choice>
          <mc:Fallback>
            <w:pict>
              <v:shape id="_x0000_s1026" o:spid="_x0000_s1026" o:spt="32" type="#_x0000_t32" style="position:absolute;left:0pt;flip:y;margin-left:254.25pt;margin-top:213.1pt;height:19.2pt;width:0.3pt;z-index:251689984;mso-width-relative:page;mso-height-relative:page;" filled="f" stroked="t" coordsize="21600,21600" o:gfxdata="UEsDBAoAAAAAAIdO4kAAAAAAAAAAAAAAAAAEAAAAZHJzL1BLAwQUAAAACACHTuJAsvbsXNcAAAAL&#10;AQAADwAAAGRycy9kb3ducmV2LnhtbE2PwU7DMAyG70i8Q2Qkbixpt1alNN1hAu6MaVyz1LTVGqc0&#10;2VreHnOCo+1Pv7+/2i5uEFecQu9JQ7JSIJCsb3pqNRzeXx4KECEaaszgCTV8Y4BtfXtTmbLxM73h&#10;dR9bwSEUSqOhi3EspQy2Q2fCyo9IfPv0kzORx6mVzWRmDneDTJXKpTM98YfOjLjr0J73F6fBHrPk&#10;vFsOYVm3X692fv5QfbHW+v4uUU8gIi7xD4ZffVaHmp1O/kJNEIOGTBUZoxo2aZ6CYCJTjwmIE2/y&#10;TQ6yruT/DvUPUEsDBBQAAAAIAIdO4kBk61aAEgIAAPwDAAAOAAAAZHJzL2Uyb0RvYy54bWytU82O&#10;0zAQviPxDpbvNG23rJaq6R5alguCSvzcXcdJLPlPM96mfQleAIkTcGI57Z2ngeUxGDuhLMtlD+QQ&#10;jTOZb+b75vPifG8N2ylA7V3JJ6MxZ8pJX2nXlPzN64tHZ5xhFK4SxjtV8oNCfr58+GDRhbma+tab&#10;SgEjEIfzLpS8jTHMiwJlq6zAkQ/KUbL2YEWkIzRFBaIjdGuK6Xh8WnQeqgBeKkT6uu6TfECE+wD6&#10;utZSrb28tMrFHhWUEZEoYasD8mWetq6VjC/rGlVkpuTENOY3NaF4m97FciHmDYjQajmMIO4zwh1O&#10;VmhHTY9QaxEFuwT9D5TVEjz6Oo6kt0VPJCtCLCbjO9q8akVQmQtJjeEoOv4/WPlitwGmq5LPTjlz&#10;wtLGb95f/3j36ebr1feP1z+/fUjxl8+M8iRWF3BONSu3geGEYQOJ+b4Gy2qjw1tyVdaC2LF9lvpw&#10;lFrtI5P08eRsQiuQlJjOTs5meRFFD5LAAmB8prxlKSg5RhC6aePKO0cr9dA3ELvnGGkMKvxdkIqd&#10;v9DG5M0axzoa58n4ceomyK412YRCG4gyuoYzYRq6BzJCnhm90VUqT0AIzXZlgO1Eck9+kgbU7q/f&#10;Uu+1wLb/L6d6X7VKVE9dxeIhkKwCwHd9Igpt/iQc3bMB17jUV2XjDtyS4r3GKdr66pClL9KJTJHH&#10;GQycXHf7TPHtS7v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L27FzXAAAACwEAAA8AAAAAAAAA&#10;AQAgAAAAIgAAAGRycy9kb3ducmV2LnhtbFBLAQIUABQAAAAIAIdO4kBk61aAEgIAAPwDAAAOAAAA&#10;AAAAAAEAIAAAACYBAABkcnMvZTJvRG9jLnhtbFBLBQYAAAAABgAGAFkBAACqBQAAAAA=&#10;">
                <v:fill on="f" focussize="0,0"/>
                <v:stroke weight="1.5pt" color="#000000" joinstyle="round" start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8960" behindDoc="0" locked="0" layoutInCell="1" allowOverlap="1">
                <wp:simplePos x="0" y="0"/>
                <wp:positionH relativeFrom="column">
                  <wp:posOffset>5534025</wp:posOffset>
                </wp:positionH>
                <wp:positionV relativeFrom="paragraph">
                  <wp:posOffset>2515870</wp:posOffset>
                </wp:positionV>
                <wp:extent cx="3810" cy="443865"/>
                <wp:effectExtent l="53340" t="0" r="64770" b="13335"/>
                <wp:wrapNone/>
                <wp:docPr id="45" name="直接箭头连接符 45"/>
                <wp:cNvGraphicFramePr/>
                <a:graphic xmlns:a="http://schemas.openxmlformats.org/drawingml/2006/main">
                  <a:graphicData uri="http://schemas.microsoft.com/office/word/2010/wordprocessingShape">
                    <wps:wsp>
                      <wps:cNvCnPr/>
                      <wps:spPr>
                        <a:xfrm flipV="1">
                          <a:off x="0" y="0"/>
                          <a:ext cx="3810" cy="443865"/>
                        </a:xfrm>
                        <a:prstGeom prst="straightConnector1">
                          <a:avLst/>
                        </a:prstGeom>
                        <a:noFill/>
                        <a:ln w="19050" cap="flat" cmpd="sng" algn="ctr">
                          <a:solidFill>
                            <a:srgbClr val="000000"/>
                          </a:solidFill>
                          <a:prstDash val="solid"/>
                          <a:headEnd type="arrow"/>
                          <a:tailEnd type="none"/>
                        </a:ln>
                        <a:effectLst/>
                      </wps:spPr>
                      <wps:bodyPr/>
                    </wps:wsp>
                  </a:graphicData>
                </a:graphic>
              </wp:anchor>
            </w:drawing>
          </mc:Choice>
          <mc:Fallback>
            <w:pict>
              <v:shape id="_x0000_s1026" o:spid="_x0000_s1026" o:spt="32" type="#_x0000_t32" style="position:absolute;left:0pt;flip:y;margin-left:435.75pt;margin-top:198.1pt;height:34.95pt;width:0.3pt;z-index:251688960;mso-width-relative:page;mso-height-relative:page;" filled="f" stroked="t" coordsize="21600,21600" o:gfxdata="UEsDBAoAAAAAAIdO4kAAAAAAAAAAAAAAAAAEAAAAZHJzL1BLAwQUAAAACACHTuJA4JfaStgAAAAL&#10;AQAADwAAAGRycy9kb3ducmV2LnhtbE2PwU7DMBBE70j8g7VI3KjthKYhZNNDBdwpFVxd2yRR43WI&#10;3Sb8PeYEx9U8zbytt4sb2MVOofeEIFcCmCXtTU8twuHt+a4EFqIiowZPFuHbBtg211e1qoyf6dVe&#10;9rFlqYRCpRC6GMeK86A761RY+dFSyj795FRM59RyM6k5lbuBZ0IU3Kme0kKnRrvrrD7tzw5Bv6/l&#10;abccwpK3Xy96fvoQfZkj3t5I8Qgs2iX+wfCrn9ShSU5HfyYT2IBQbuQ6oQj5Q5EBS0S5ySSwI8J9&#10;UUjgTc3//9D8AFBLAwQUAAAACACHTuJA1//44BECAAD8AwAADgAAAGRycy9lMm9Eb2MueG1srVO9&#10;jhMxEO6ReAfLPdnkLncKUTZXJBwNgkj89BOvd9eS/zT2ZZOX4AWQqIAKqK7naeB4DMbeJRxHcwVb&#10;WGPPzjfzff68uNgbzXYSg3K25JPRmDNphauUbUr++tXloxlnIYKtQDsrS36QgV8sHz5YdH4uT1zr&#10;dCWREYgN886XvI3Rz4siiFYaCCPnpaVk7dBApC02RYXQEbrRxcl4fF50DiuPTsgQ6HTdJ/mAiPcB&#10;dHWthFw7cWWkjT0qSg2RKIVW+cCXedq6liK+qOsgI9MlJ6Yxr9SE4m1ai+UC5g2Cb5UYRoD7jHCH&#10;kwFlqekRag0R2BWqf6CMEuiCq+NIOFP0RLIixGIyvqPNyxa8zFxI6uCPoof/Byue7zbIVFXy6Rln&#10;Fgzd+M276x9vP958/fL9w/XPb+9T/PkTozyJ1fkwp5qV3eCwC36Difm+RsNqrfwbclXWgtixfZb6&#10;cJRa7iMTdHg6m9AVCEpMp6ez84xd9CAJzGOIT6UzLAUlDxFBNW1cOWvpSh32DWD3LEQagwp/F6Ri&#10;6y6V1vlmtWUdjfN4fJa6Adm1JptQaDxRDrbhDHRD70BEzDMHp1WVyhNQwGa70sh2kNyTv6QBtfvr&#10;t9R7DaHt/8up3lethOqJrVg8eJIVEF3XJyIo/Sdh6Z0NuNqmvjIbd+CWFO81TtHWVYcsfZF2ZIo8&#10;zmDg5Lrbe4pvP9rl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CX2krYAAAACwEAAA8AAAAAAAAA&#10;AQAgAAAAIgAAAGRycy9kb3ducmV2LnhtbFBLAQIUABQAAAAIAIdO4kDX//jgEQIAAPwDAAAOAAAA&#10;AAAAAAEAIAAAACcBAABkcnMvZTJvRG9jLnhtbFBLBQYAAAAABgAGAFkBAACqBQAAAAA=&#10;">
                <v:fill on="f" focussize="0,0"/>
                <v:stroke weight="1.5pt" color="#000000" joinstyle="round" start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2190750</wp:posOffset>
                </wp:positionH>
                <wp:positionV relativeFrom="paragraph">
                  <wp:posOffset>2497455</wp:posOffset>
                </wp:positionV>
                <wp:extent cx="10795" cy="481330"/>
                <wp:effectExtent l="52070" t="0" r="59055" b="6350"/>
                <wp:wrapNone/>
                <wp:docPr id="43" name="直接箭头连接符 43"/>
                <wp:cNvGraphicFramePr/>
                <a:graphic xmlns:a="http://schemas.openxmlformats.org/drawingml/2006/main">
                  <a:graphicData uri="http://schemas.microsoft.com/office/word/2010/wordprocessingShape">
                    <wps:wsp>
                      <wps:cNvCnPr/>
                      <wps:spPr>
                        <a:xfrm flipV="1">
                          <a:off x="0" y="0"/>
                          <a:ext cx="10795" cy="481330"/>
                        </a:xfrm>
                        <a:prstGeom prst="straightConnector1">
                          <a:avLst/>
                        </a:prstGeom>
                        <a:noFill/>
                        <a:ln w="19050" cap="flat" cmpd="sng" algn="ctr">
                          <a:solidFill>
                            <a:srgbClr val="000000"/>
                          </a:solidFill>
                          <a:prstDash val="solid"/>
                          <a:headEnd type="arrow"/>
                          <a:tailEnd type="none"/>
                        </a:ln>
                        <a:effectLst/>
                      </wps:spPr>
                      <wps:bodyPr/>
                    </wps:wsp>
                  </a:graphicData>
                </a:graphic>
              </wp:anchor>
            </w:drawing>
          </mc:Choice>
          <mc:Fallback>
            <w:pict>
              <v:shape id="_x0000_s1026" o:spid="_x0000_s1026" o:spt="32" type="#_x0000_t32" style="position:absolute;left:0pt;flip:y;margin-left:172.5pt;margin-top:196.65pt;height:37.9pt;width:0.85pt;z-index:251686912;mso-width-relative:page;mso-height-relative:page;" filled="f" stroked="t" coordsize="21600,21600" o:gfxdata="UEsDBAoAAAAAAIdO4kAAAAAAAAAAAAAAAAAEAAAAZHJzL1BLAwQUAAAACACHTuJATjFOmtgAAAAL&#10;AQAADwAAAGRycy9kb3ducmV2LnhtbE2PwU7DMBBE70j8g7VI3KgdnKZtiNNDBdwpFVxde5tEjdch&#10;dpvw95gT3GY1o9k31XZ2PbviGDpPCrKFAIZkvO2oUXB4f3lYAwtRk9W9J1TwjQG29e1NpUvrJ3rD&#10;6z42LJVQKLWCNsah5DyYFp0OCz8gJe/kR6djOseG21FPqdz1/FGIgjvdUfrQ6gF3LZrz/uIUmI9l&#10;dt7NhzDL5uvVTM+foltLpe7vMvEELOIc/8Lwi5/QoU5MR38hG1ivQObLtCUmsZESWErIvFgBOyrI&#10;i00GvK74/w31D1BLAwQUAAAACACHTuJAKIBtahQCAAD9AwAADgAAAGRycy9lMm9Eb2MueG1srVPN&#10;btNAEL4j8Q6rvRMnTQttFKeHhHJBEImf+2S9tlfaP81u4+QleAEkTsCpcOqdp4HyGMyuTSjl0gM+&#10;WLMezzfzffPt/HxnNNtKDMrZkk9GY86kFa5Stin5m9cXj045CxFsBdpZWfK9DPx88fDBvPMzeeRa&#10;pyuJjEBsmHW+5G2MflYUQbTSQBg5Ly0la4cGIh2xKSqEjtCNLo7G48dF57Dy6IQMgb6u+iQfEPE+&#10;gK6ulZArJy6NtLFHRakhEqXQKh/4Ik9b11LEl3UdZGS65MQ05jc1oXiT3sViDrMGwbdKDCPAfUa4&#10;w8mAstT0ALWCCOwS1T9QRgl0wdVxJJwpeiJZEWIxGd/R5lULXmYuJHXwB9HD/4MVL7ZrZKoq+fGU&#10;MwuGNn7z/vrHu083X798/3j989uHFF99ZpQnsTofZlSztGscTsGvMTHf1WhYrZV/S67KWhA7tstS&#10;7w9Sy11kgj5Oxk/OTjgTlDk+nUyneRNFj5LQPIb4TDrDUlDyEBFU08als5Z26rDvANvnIdIcVPi7&#10;IBVbd6G0zqvVlnXU7Wx8QhsXQH6tyScUGk+cg204A93QRRAR89DBaVWl8gQUsNksNbItJPvkJ4lA&#10;7f76LfVeQWj7/3KqN1YroXpqKxb3nnQFRNf1iQhK/0lYumgDrrapr8zOHbglyXuRU7Rx1T5rX6QT&#10;uSKPMzg42e72meLbt3bx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4xTprYAAAACwEAAA8AAAAA&#10;AAAAAQAgAAAAIgAAAGRycy9kb3ducmV2LnhtbFBLAQIUABQAAAAIAIdO4kAogG1qFAIAAP0DAAAO&#10;AAAAAAAAAAEAIAAAACcBAABkcnMvZTJvRG9jLnhtbFBLBQYAAAAABgAGAFkBAACtBQAAAAA=&#10;">
                <v:fill on="f" focussize="0,0"/>
                <v:stroke weight="1.5pt" color="#000000" joinstyle="round" start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742950</wp:posOffset>
                </wp:positionH>
                <wp:positionV relativeFrom="paragraph">
                  <wp:posOffset>2478405</wp:posOffset>
                </wp:positionV>
                <wp:extent cx="10795" cy="481330"/>
                <wp:effectExtent l="52070" t="0" r="59055" b="6350"/>
                <wp:wrapNone/>
                <wp:docPr id="39" name="直接箭头连接符 39"/>
                <wp:cNvGraphicFramePr/>
                <a:graphic xmlns:a="http://schemas.openxmlformats.org/drawingml/2006/main">
                  <a:graphicData uri="http://schemas.microsoft.com/office/word/2010/wordprocessingShape">
                    <wps:wsp>
                      <wps:cNvCnPr/>
                      <wps:spPr>
                        <a:xfrm flipV="1">
                          <a:off x="0" y="0"/>
                          <a:ext cx="10795" cy="481330"/>
                        </a:xfrm>
                        <a:prstGeom prst="straightConnector1">
                          <a:avLst/>
                        </a:prstGeom>
                        <a:noFill/>
                        <a:ln w="19050" cap="flat" cmpd="sng" algn="ctr">
                          <a:solidFill>
                            <a:srgbClr val="000000"/>
                          </a:solidFill>
                          <a:prstDash val="solid"/>
                          <a:headEnd type="arrow"/>
                          <a:tailEnd type="none"/>
                        </a:ln>
                        <a:effectLst/>
                      </wps:spPr>
                      <wps:bodyPr/>
                    </wps:wsp>
                  </a:graphicData>
                </a:graphic>
              </wp:anchor>
            </w:drawing>
          </mc:Choice>
          <mc:Fallback>
            <w:pict>
              <v:shape id="_x0000_s1026" o:spid="_x0000_s1026" o:spt="32" type="#_x0000_t32" style="position:absolute;left:0pt;flip:y;margin-left:58.5pt;margin-top:195.15pt;height:37.9pt;width:0.85pt;z-index:251684864;mso-width-relative:page;mso-height-relative:page;" filled="f" stroked="t" coordsize="21600,21600" o:gfxdata="UEsDBAoAAAAAAIdO4kAAAAAAAAAAAAAAAAAEAAAAZHJzL1BLAwQUAAAACACHTuJAuPvtmNYAAAAL&#10;AQAADwAAAGRycy9kb3ducmV2LnhtbE2PMU/DMBSEdyT+g/WQ2KhtAmlI43SogJ1Swerar0nU+DnE&#10;bhP+Pe5Ex9Od7r6r1rPr2RnH0HlSIBcCGJLxtqNGwe7z7aEAFqImq3tPqOAXA6zr25tKl9ZP9IHn&#10;bWxYKqFQagVtjEPJeTAtOh0WfkBK3sGPTsckx4bbUU+p3PX8UYicO91RWmj1gJsWzXF7cgrM17M8&#10;buZdmLPm591Mr9+iKzKl7u+kWAGLOMf/MFzwEzrUiWnvT2QD65OWy/QlKsheRAbskpDFEthewVOe&#10;S+B1xa8/1H9QSwMEFAAAAAgAh07iQAgd+UMUAgAA/QMAAA4AAABkcnMvZTJvRG9jLnhtbK1TzY7T&#10;MBC+I/EOlu806ZaFbdV0Dy3LBUElfu5Tx0ks+U9jb9O+BC+AxAk4Aae98zSwPAZjp5RlueyBHKJx&#10;JvPNfN98np/vjGZbiUE5W/HxqORMWuFqZduKv3518eCMsxDB1qCdlRXfy8DPF/fvzXs/kyeuc7qW&#10;yAjEhlnvK97F6GdFEUQnDYSR89JSsnFoINIR26JG6And6OKkLB8VvcPaoxMyBPq6GpL8gIh3AXRN&#10;o4RcOXFppI0DKkoNkSiFTvnAF3nappEivmiaICPTFSemMb+pCcWb9C4Wc5i1CL5T4jAC3GWEW5wM&#10;KEtNj1AriMAuUf0DZZRAF1wTR8KZYiCSFSEW4/KWNi878DJzIamDP4oe/h+seL5dI1N1xSdTziwY&#10;2vj1u6sfbz9ef/3y/cPVz2/vU/z5E6M8idX7MKOapV3j4RT8GhPzXYOGNVr5N+SqrAWxY7ss9f4o&#10;tdxFJujjuHw8PeVMUObh2XgyyZsoBpSE5jHEp9IZloKKh4ig2i4unbW0U4dDB9g+C5HmoMLfBanY&#10;uguldV6ttqynbtPylDYugPzakE8oNJ44B9tyBrqliyAi5qGD06pO5QkoYLtZamRbSPbJTxKB2v31&#10;W+q9gtAN/+XUYKxOQv3E1izuPekKiK4fEhGU/pOwdNEOuNqmvjI798AtST6InKKNq/dZ+yKdyBV5&#10;nIODk+1unim+eWsX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4++2Y1gAAAAsBAAAPAAAAAAAA&#10;AAEAIAAAACIAAABkcnMvZG93bnJldi54bWxQSwECFAAUAAAACACHTuJACB35QxQCAAD9AwAADgAA&#10;AAAAAAABACAAAAAlAQAAZHJzL2Uyb0RvYy54bWxQSwUGAAAAAAYABgBZAQAAqwUAAAAA&#10;">
                <v:fill on="f" focussize="0,0"/>
                <v:stroke weight="1.5pt" color="#000000" joinstyle="round" start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5039995</wp:posOffset>
                </wp:positionH>
                <wp:positionV relativeFrom="paragraph">
                  <wp:posOffset>2174240</wp:posOffset>
                </wp:positionV>
                <wp:extent cx="1010920" cy="314325"/>
                <wp:effectExtent l="9525" t="0" r="15875" b="11430"/>
                <wp:wrapNone/>
                <wp:docPr id="17" name="文本框 17"/>
                <wp:cNvGraphicFramePr/>
                <a:graphic xmlns:a="http://schemas.openxmlformats.org/drawingml/2006/main">
                  <a:graphicData uri="http://schemas.microsoft.com/office/word/2010/wordprocessingShape">
                    <wps:wsp>
                      <wps:cNvSpPr txBox="1"/>
                      <wps:spPr>
                        <a:xfrm>
                          <a:off x="0" y="0"/>
                          <a:ext cx="1010920" cy="314325"/>
                        </a:xfrm>
                        <a:prstGeom prst="rect">
                          <a:avLst/>
                        </a:prstGeom>
                        <a:solidFill>
                          <a:srgbClr val="FFFFFF"/>
                        </a:solidFill>
                        <a:ln w="19050">
                          <a:solidFill>
                            <a:prstClr val="black"/>
                          </a:solidFill>
                        </a:ln>
                        <a:effectLst/>
                      </wps:spPr>
                      <wps:txbx>
                        <w:txbxContent>
                          <w:p>
                            <w:r>
                              <w:rPr>
                                <w:rFonts w:hint="eastAsia" w:eastAsia="仿宋"/>
                                <w:b/>
                                <w:bCs/>
                                <w:kern w:val="0"/>
                                <w:sz w:val="24"/>
                                <w:szCs w:val="24"/>
                              </w:rPr>
                              <w:t>应急专家组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6.85pt;margin-top:171.2pt;height:24.75pt;width:79.6pt;z-index:251671552;mso-width-relative:page;mso-height-relative:page;" fillcolor="#FFFFFF" filled="t" stroked="t" coordsize="21600,21600" o:gfxdata="UEsDBAoAAAAAAIdO4kAAAAAAAAAAAAAAAAAEAAAAZHJzL1BLAwQUAAAACACHTuJAot73AdgAAAAL&#10;AQAADwAAAGRycy9kb3ducmV2LnhtbE2Py07DMBBF90j8gzVI7KiTNKV1iNMFElnTB2LrxCaOiMdR&#10;7Kbp3zOsYDkzR3fOLfeLG9hsptB7lJCuEmAGW6977CScT29PO2AhKtRq8Ggk3EyAfXV/V6pC+yse&#10;zHyMHaMQDIWSYGMcC85Da41TYeVHg3T78pNTkcap43pSVwp3A8+S5Jk71SN9sGo0r9a038eLk7AJ&#10;n+/5fGt62+0+al4v7pCfaikfH9LkBVg0S/yD4Vef1KEip8ZfUAc2SNiK9ZZQCes8y4ERITaZANbQ&#10;RqQCeFXy/x2qH1BLAwQUAAAACACHTuJAjKR3al4CAADIBAAADgAAAGRycy9lMm9Eb2MueG1srVTB&#10;bhMxEL0j8Q+W72STNKU06qYKqYKQIlopIM6O15u1sD3GdrIbPgD+gBMX7nxXvoOxd5OmLYce2IN3&#10;7Jl9M/P8Zq+uG63IVjgvweR00OtTIgyHQpp1Tj99nL96Q4kPzBRMgRE53QlPrycvX1zVdiyGUIEq&#10;hCMIYvy4tjmtQrDjLPO8Epr5Hlhh0FmC0yzg1q2zwrEa0bXKhv3+66wGV1gHXHiPpzetk3aI7jmA&#10;UJaSixvgGy1MaFGdUCxgS76S1tNJqrYsBQ+3ZelFICqn2GlIKyZBexXXbHLFxmvHbCV5VwJ7TgmP&#10;etJMGkx6hLphgZGNk0+gtOQOPJShx0FnbSOJEexi0H/EzbJiVqRekGpvj6T7/wfLP2zvHJEFKuGC&#10;EsM03vj+54/9rz/7398JniFBtfVjjFtajAzNW2gw+HDu8TD23ZROxzd2RNCP9O6O9IomEB4/wg4v&#10;h+ji6DsbjM6G5xEmu//aOh/eCdAkGjl1eH2JVbZd+NCGHkJiMg9KFnOpVNq49WqmHNkyvOp5ejr0&#10;B2HKkBpLueyf9xP0A2cEP2KsFONfnkJgucrEhCLJqyssctRyEa3QrJqOuBUUO+TNQSs9b/lcYpYF&#10;8+GOOdQa8oHTGG5xKRVgbdBZlFTgvv3rPMajBNBLSY3azan/umFOUKLeGxTH5WA0QtiQNqPzi8i5&#10;O/WsTj1mo2eAnA1w7i1PZowP6mCWDvRnHNppzIouZjjmzmk4mLPQThQOPRfTaQpCeVsWFmZpeYSO&#10;hBmYbgKUMt1kpKnlBhUQNyjwpIVuGOMEne5T1P0PaPI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ot73AdgAAAALAQAADwAAAAAAAAABACAAAAAiAAAAZHJzL2Rvd25yZXYueG1sUEsBAhQAFAAAAAgA&#10;h07iQIykd2peAgAAyAQAAA4AAAAAAAAAAQAgAAAAJwEAAGRycy9lMm9Eb2MueG1sUEsFBgAAAAAG&#10;AAYAWQEAAPcFAAAAAA==&#10;">
                <v:fill on="t" focussize="0,0"/>
                <v:stroke weight="1.5pt" color="#000000" joinstyle="round"/>
                <v:imagedata o:title=""/>
                <o:lock v:ext="edit" aspectratio="f"/>
                <v:textbox>
                  <w:txbxContent>
                    <w:p>
                      <w:r>
                        <w:rPr>
                          <w:rFonts w:hint="eastAsia" w:eastAsia="仿宋"/>
                          <w:b/>
                          <w:bCs/>
                          <w:kern w:val="0"/>
                          <w:sz w:val="24"/>
                          <w:szCs w:val="24"/>
                        </w:rPr>
                        <w:t>应急专家组</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3839845</wp:posOffset>
                </wp:positionH>
                <wp:positionV relativeFrom="paragraph">
                  <wp:posOffset>2155190</wp:posOffset>
                </wp:positionV>
                <wp:extent cx="1010920" cy="541655"/>
                <wp:effectExtent l="9525" t="0" r="15875" b="12700"/>
                <wp:wrapNone/>
                <wp:docPr id="16" name="文本框 16"/>
                <wp:cNvGraphicFramePr/>
                <a:graphic xmlns:a="http://schemas.openxmlformats.org/drawingml/2006/main">
                  <a:graphicData uri="http://schemas.microsoft.com/office/word/2010/wordprocessingShape">
                    <wps:wsp>
                      <wps:cNvSpPr txBox="1"/>
                      <wps:spPr>
                        <a:xfrm>
                          <a:off x="0" y="0"/>
                          <a:ext cx="1010920" cy="541655"/>
                        </a:xfrm>
                        <a:prstGeom prst="rect">
                          <a:avLst/>
                        </a:prstGeom>
                        <a:solidFill>
                          <a:srgbClr val="FFFFFF"/>
                        </a:solidFill>
                        <a:ln w="19050">
                          <a:solidFill>
                            <a:prstClr val="black"/>
                          </a:solidFill>
                        </a:ln>
                        <a:effectLst/>
                      </wps:spPr>
                      <wps:txbx>
                        <w:txbxContent>
                          <w:p>
                            <w:pPr>
                              <w:jc w:val="center"/>
                            </w:pPr>
                            <w:r>
                              <w:rPr>
                                <w:rFonts w:hint="eastAsia" w:eastAsia="仿宋"/>
                                <w:b/>
                                <w:bCs/>
                                <w:kern w:val="0"/>
                                <w:sz w:val="24"/>
                                <w:szCs w:val="24"/>
                              </w:rPr>
                              <w:t>应急物资保障组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2.35pt;margin-top:169.7pt;height:42.65pt;width:79.6pt;z-index:251670528;mso-width-relative:page;mso-height-relative:page;" fillcolor="#FFFFFF" filled="t" stroked="t" coordsize="21600,21600" o:gfxdata="UEsDBAoAAAAAAIdO4kAAAAAAAAAAAAAAAAAEAAAAZHJzL1BLAwQUAAAACACHTuJAVz6yetgAAAAL&#10;AQAADwAAAGRycy9kb3ducmV2LnhtbE2Py26DMBBF95X6D9ZU6q4xCS5JCCaLSmXdPKpuDXYwKh4j&#10;7BDy952u2uXoHt17ptjPrmeTGUPnUcJykQAz2HjdYSvhfHp/2QALUaFWvUcj4W4C7MvHh0Ll2t/w&#10;YKZjbBmVYMiVBBvjkHMeGmucCgs/GKTs4kenIp1jy/WoblTuer5Kkow71SEtWDWYN2ua7+PVSXgN&#10;Xx9iutedbTefFa9mdxCnSsrnp2WyAxbNHP9g+NUndSjJqfZX1IH1ErJErAmVkKZbAYyIdZZugdUS&#10;xIoiXhb8/w/lD1BLAwQUAAAACACHTuJAP6WcG10CAADIBAAADgAAAGRycy9lMm9Eb2MueG1srVRL&#10;btswEN0X6B0I7hvZgZ02RuTATeCiQNAESIuuaYqyiPJXkraUHqC9QVfddN9z5Rx9pGTn10UW1YIa&#10;ckZvZh7f6OS004pshQ/SmpKOD0aUCMNtJc26pJ8+Ll+9oSREZiqmrBElvRGBns5fvjhp3Uwc2saq&#10;SngCEBNmrStpE6ObFUXgjdAsHFgnDJy19ZpFbP26qDxrga5VcTgaHRWt9ZXzlosQcHreO+mA6J8D&#10;aOtacnFu+UYLE3tULxSLaCk00gU6z9XWteDxsq6DiESVFJ3GvCIJ7FVai/kJm609c43kQwnsOSU8&#10;6kkzaZB0D3XOIiMbL59Aacm9DbaOB9zqom8kM4IuxqNH3Fw3zIncC6gObk96+H+w/MP2yhNZQQlH&#10;lBimceO3P3/c/vpz+/s7wRkIal2YIe7aITJ2b22H4N15wGHqu6u9Tm90ROAHvTd7ekUXCU8focPj&#10;Q7g4fNPJ+Gg6TTDF3dfOh/hOWE2SUVKP68ussu1FiH3oLiQlC1bJaimVyhu/Xp0pT7YMV73Mz4D+&#10;IEwZ0qKU49F0lKEfOBP4HmOlGP/yFALlKpMSiiyvobDEUc9FsmK36gbiVra6AW/e9tILji8lslyw&#10;EK+Yh9bAB6YxXmKplUVtdrAoaaz/9q/zFA8JwEtJC+2WNHzdMC8oUe8NxHE8nkwAG/NmMn2dOPf3&#10;Pav7HrPRZxacjTH3jmczxUe1M2tv9WcM7SJlhYsZjtwljTvzLPYThaHnYrHIQZC3Y/HCXDueoBNh&#10;xi420dYy32SiqecGCkgbCDxrYRjGNEH39znq7gc0/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X&#10;PrJ62AAAAAsBAAAPAAAAAAAAAAEAIAAAACIAAABkcnMvZG93bnJldi54bWxQSwECFAAUAAAACACH&#10;TuJAP6WcG10CAADIBAAADgAAAAAAAAABACAAAAAnAQAAZHJzL2Uyb0RvYy54bWxQSwUGAAAAAAYA&#10;BgBZAQAA9gUAAAAA&#10;">
                <v:fill on="t" focussize="0,0"/>
                <v:stroke weight="1.5pt" color="#000000" joinstyle="round"/>
                <v:imagedata o:title=""/>
                <o:lock v:ext="edit" aspectratio="f"/>
                <v:textbox>
                  <w:txbxContent>
                    <w:p>
                      <w:pPr>
                        <w:jc w:val="center"/>
                      </w:pPr>
                      <w:r>
                        <w:rPr>
                          <w:rFonts w:hint="eastAsia" w:eastAsia="仿宋"/>
                          <w:b/>
                          <w:bCs/>
                          <w:kern w:val="0"/>
                          <w:sz w:val="24"/>
                          <w:szCs w:val="24"/>
                        </w:rPr>
                        <w:t>应急物资保障组</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2802255</wp:posOffset>
                </wp:positionH>
                <wp:positionV relativeFrom="paragraph">
                  <wp:posOffset>2145665</wp:posOffset>
                </wp:positionV>
                <wp:extent cx="855980" cy="542925"/>
                <wp:effectExtent l="9525" t="0" r="18415" b="11430"/>
                <wp:wrapNone/>
                <wp:docPr id="15" name="文本框 15"/>
                <wp:cNvGraphicFramePr/>
                <a:graphic xmlns:a="http://schemas.openxmlformats.org/drawingml/2006/main">
                  <a:graphicData uri="http://schemas.microsoft.com/office/word/2010/wordprocessingShape">
                    <wps:wsp>
                      <wps:cNvSpPr txBox="1"/>
                      <wps:spPr>
                        <a:xfrm>
                          <a:off x="0" y="0"/>
                          <a:ext cx="855980" cy="542925"/>
                        </a:xfrm>
                        <a:prstGeom prst="rect">
                          <a:avLst/>
                        </a:prstGeom>
                        <a:solidFill>
                          <a:srgbClr val="FFFFFF"/>
                        </a:solidFill>
                        <a:ln w="19050">
                          <a:solidFill>
                            <a:prstClr val="black"/>
                          </a:solidFill>
                        </a:ln>
                        <a:effectLst/>
                      </wps:spPr>
                      <wps:txbx>
                        <w:txbxContent>
                          <w:p>
                            <w:pPr>
                              <w:jc w:val="center"/>
                            </w:pPr>
                            <w:r>
                              <w:rPr>
                                <w:rFonts w:hint="eastAsia" w:eastAsia="仿宋"/>
                                <w:b/>
                                <w:bCs/>
                                <w:kern w:val="0"/>
                                <w:sz w:val="24"/>
                                <w:szCs w:val="24"/>
                              </w:rPr>
                              <w:t>应急供水保障组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0.65pt;margin-top:168.95pt;height:42.75pt;width:67.4pt;z-index:251669504;mso-width-relative:page;mso-height-relative:page;" fillcolor="#FFFFFF" filled="t" stroked="t" coordsize="21600,21600" o:gfxdata="UEsDBAoAAAAAAIdO4kAAAAAAAAAAAAAAAAAEAAAAZHJzL1BLAwQUAAAACACHTuJA9srAPtgAAAAL&#10;AQAADwAAAGRycy9kb3ducmV2LnhtbE2Py07DMBBF90j8gzVI7KiTxn2FOF0gkTV9ILZO7MYR8TiK&#10;3TT9e4YVLEf36N4zxX52PZvMGDqPEtJFAsxg43WHrYTz6f1lCyxEhVr1Ho2EuwmwLx8fCpVrf8OD&#10;mY6xZVSCIVcSbIxDznlorHEqLPxgkLKLH52KdI4t16O6Ubnr+TJJ1typDmnBqsG8WdN8H69Owip8&#10;fYjpXne23X5WvJrdQZwqKZ+f0uQVWDRz/IPhV5/UoSSn2l9RB9ZLECLNCJWQZZsdMCJWm3UKrKZo&#10;mQngZcH//1D+AFBLAwQUAAAACACHTuJApROlUl4CAADHBAAADgAAAGRycy9lMm9Eb2MueG1srVTN&#10;bhMxEL4j8Q6W73STKIEm6qYKrYKQKlqpIM6O15u18B+2k93yAPAGnLhw57n6HHz2Jukfhx7IYTN/&#10;+83MNzN7ctppRbbCB2lNSYdHA0qE4baSZl3STx+Xr44pCZGZiilrRElvRKCn85cvTlo3EyPbWFUJ&#10;TwBiwqx1JW1idLOiCLwRmoUj64SBs7ZeswjVr4vKsxboWhWjweB10VpfOW+5CAHW895Jd4j+OYC2&#10;riUX55ZvtDCxR/VCsYiWQiNdoPNcbV0LHi/rOohIVEnRacxPJIG8Ss9ifsJma89cI/muBPacEh71&#10;pJk0SHqAOmeRkY2XT6C05N4GW8cjbnXRN5IZQRfDwSNurhvmRO4FVAd3ID38P1j+YXvliaywCRNK&#10;DNOY+O3PH7e//tz+/k5gA0GtCzPEXTtExu6t7RC8twcYU99d7XX6R0cEftB7c6BXdJFwGI8nk+kx&#10;PByuyXg0HWX04u5l50N8J6wmSSipx/QyqWx7ESIKQeg+JOUKVslqKZXKil+vzpQnW4ZJL/Mv1YhX&#10;HoQpQ1qUPx1MBhn6gTOBHzBWivEvTyEAqExKKPJ27QpLFPVUJCl2q27H28pWN6DN237zguNLiSwX&#10;LMQr5rFq4APHGC/xqJVFbXYnUdJY/+1f9hSPDYCXkharW9LwdcO8oES9N9iN6XA8BmzMynjyZgTF&#10;3/es7nvMRp9ZcDbE2TuexRQf1V6svdWfcbOLlBUuZjhylzTuxbPYHxRunovFIgdhux2LF+ba8QSd&#10;CDN2sYm2lnmSiaaeG8woKdjvPK3dLaYDuq/nqLvvz/w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9srAPtgAAAALAQAADwAAAAAAAAABACAAAAAiAAAAZHJzL2Rvd25yZXYueG1sUEsBAhQAFAAAAAgA&#10;h07iQKUTpVJeAgAAxwQAAA4AAAAAAAAAAQAgAAAAJwEAAGRycy9lMm9Eb2MueG1sUEsFBgAAAAAG&#10;AAYAWQEAAPcFAAAAAA==&#10;">
                <v:fill on="t" focussize="0,0"/>
                <v:stroke weight="1.5pt" color="#000000" joinstyle="round"/>
                <v:imagedata o:title=""/>
                <o:lock v:ext="edit" aspectratio="f"/>
                <v:textbox>
                  <w:txbxContent>
                    <w:p>
                      <w:pPr>
                        <w:jc w:val="center"/>
                      </w:pPr>
                      <w:r>
                        <w:rPr>
                          <w:rFonts w:hint="eastAsia" w:eastAsia="仿宋"/>
                          <w:b/>
                          <w:bCs/>
                          <w:kern w:val="0"/>
                          <w:sz w:val="24"/>
                          <w:szCs w:val="24"/>
                        </w:rPr>
                        <w:t>应急供水保障组</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1715770</wp:posOffset>
                </wp:positionH>
                <wp:positionV relativeFrom="paragraph">
                  <wp:posOffset>2174240</wp:posOffset>
                </wp:positionV>
                <wp:extent cx="972185" cy="314325"/>
                <wp:effectExtent l="9525" t="0" r="24130" b="11430"/>
                <wp:wrapNone/>
                <wp:docPr id="14" name="文本框 14"/>
                <wp:cNvGraphicFramePr/>
                <a:graphic xmlns:a="http://schemas.openxmlformats.org/drawingml/2006/main">
                  <a:graphicData uri="http://schemas.microsoft.com/office/word/2010/wordprocessingShape">
                    <wps:wsp>
                      <wps:cNvSpPr txBox="1"/>
                      <wps:spPr>
                        <a:xfrm>
                          <a:off x="0" y="0"/>
                          <a:ext cx="972185" cy="314325"/>
                        </a:xfrm>
                        <a:prstGeom prst="rect">
                          <a:avLst/>
                        </a:prstGeom>
                        <a:solidFill>
                          <a:srgbClr val="FFFFFF"/>
                        </a:solidFill>
                        <a:ln w="19050">
                          <a:solidFill>
                            <a:prstClr val="black"/>
                          </a:solidFill>
                        </a:ln>
                        <a:effectLst/>
                      </wps:spPr>
                      <wps:txbx>
                        <w:txbxContent>
                          <w:p>
                            <w:r>
                              <w:rPr>
                                <w:rFonts w:hint="eastAsia" w:eastAsia="仿宋"/>
                                <w:b/>
                                <w:bCs/>
                                <w:kern w:val="0"/>
                                <w:sz w:val="24"/>
                                <w:szCs w:val="24"/>
                              </w:rPr>
                              <w:t>应急监测组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5.1pt;margin-top:171.2pt;height:24.75pt;width:76.55pt;z-index:251668480;mso-width-relative:page;mso-height-relative:page;" fillcolor="#FFFFFF" filled="t" stroked="t" coordsize="21600,21600" o:gfxdata="UEsDBAoAAAAAAIdO4kAAAAAAAAAAAAAAAAAEAAAAZHJzL1BLAwQUAAAACACHTuJAtcy1H9gAAAAL&#10;AQAADwAAAGRycy9kb3ducmV2LnhtbE2Py07DMBBF90j8gzVI7Kgdx0CbxukCiazpA7F1YjeOiMdR&#10;7Kbp32NWsJyZozvnlrvFDWQ2U+g9SshWDIjB1useOwmn4/vTGkiICrUaPBoJNxNgV93flarQ/op7&#10;Mx9iR1IIhkJJsDGOBaWhtcapsPKjwXQ7+8mpmMapo3pS1xTuBsoZe6FO9Zg+WDWaN2va78PFSXgO&#10;Xx9ivjW97dafNa0XtxfHWsrHh4xtgUSzxD8YfvWTOlTJqfEX1IEMEvgr4wmVkAsugCRC8DwH0qTN&#10;JtsArUr6v0P1A1BLAwQUAAAACACHTuJALpBiNF8CAADHBAAADgAAAGRycy9lMm9Eb2MueG1srVTN&#10;bhoxEL5X6jtYvpcFAk2CskQ0iKoSaiKlVc/G62Wt2h7XNuzSB2jeoKdeeu9z8Rwdexfy10MO5WBm&#10;PMM3M5+/4eKy0YpshfMSTE4HvT4lwnAopFnn9POnxZszSnxgpmAKjMjpTnh6OX396qK2EzGEClQh&#10;HEEQ4ye1zWkVgp1kmeeV0Mz3wAqDwRKcZgFdt84Kx2pE1yob9vtvsxpcYR1w4T3eztsg7RDdSwCh&#10;LCUXc+AbLUxoUZ1QLOBIvpLW02nqtiwFD9dl6UUgKqc4aUgnFkF7Fc9sesEma8dsJXnXAntJC09m&#10;0kwaLHqEmrPAyMbJZ1BacgceytDjoLN2kMQITjHoP+HmtmJWpFmQam+PpPv/B8s/bm8ckQUqYUSJ&#10;YRpffP/zbv/rz/73D4J3SFBt/QTzbi1mhuYdNJh8uPd4GeduSqfjN05EMI707o70iiYQjpfnp8PB&#10;2ZgSjqGTwehkOI4o2f2PrfPhvQBNopFTh6+XSGXbpQ9t6iEl1vKgZLGQSiXHrVdXypEtw5depE+H&#10;/ihNGVJj++f9cT9BPwpG8CPGSjH+9TkEtqtMLCiSurrGIkUtFdEKzarpeFtBsUPaHLTK85YvJFZZ&#10;Mh9umEOpIVO4jOEaj1IB9gadRUkF7vu/7mM+KgCjlNQo3Zz6bxvmBCXqg0FtnA9Go6j15IzGp0N0&#10;3MPI6mHEbPQVIGcDXHvLkxnzgzqYpQP9BXd2FqtiiBmOtXMaDuZVaBcKd56L2SwlobotC0tza3mE&#10;joQZmG0ClDK9ZKSp5QYVEB3Ud9JCt4txgR76Kev+/2f6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XMtR/YAAAACwEAAA8AAAAAAAAAAQAgAAAAIgAAAGRycy9kb3ducmV2LnhtbFBLAQIUABQAAAAI&#10;AIdO4kAukGI0XwIAAMcEAAAOAAAAAAAAAAEAIAAAACcBAABkcnMvZTJvRG9jLnhtbFBLBQYAAAAA&#10;BgAGAFkBAAD4BQAAAAA=&#10;">
                <v:fill on="t" focussize="0,0"/>
                <v:stroke weight="1.5pt" color="#000000" joinstyle="round"/>
                <v:imagedata o:title=""/>
                <o:lock v:ext="edit" aspectratio="f"/>
                <v:textbox>
                  <w:txbxContent>
                    <w:p>
                      <w:r>
                        <w:rPr>
                          <w:rFonts w:hint="eastAsia" w:eastAsia="仿宋"/>
                          <w:b/>
                          <w:bCs/>
                          <w:kern w:val="0"/>
                          <w:sz w:val="24"/>
                          <w:szCs w:val="24"/>
                        </w:rPr>
                        <w:t>应急监测组</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239395</wp:posOffset>
                </wp:positionH>
                <wp:positionV relativeFrom="paragraph">
                  <wp:posOffset>2155190</wp:posOffset>
                </wp:positionV>
                <wp:extent cx="1010920" cy="314325"/>
                <wp:effectExtent l="9525" t="0" r="15875" b="11430"/>
                <wp:wrapNone/>
                <wp:docPr id="13" name="文本框 13"/>
                <wp:cNvGraphicFramePr/>
                <a:graphic xmlns:a="http://schemas.openxmlformats.org/drawingml/2006/main">
                  <a:graphicData uri="http://schemas.microsoft.com/office/word/2010/wordprocessingShape">
                    <wps:wsp>
                      <wps:cNvSpPr txBox="1"/>
                      <wps:spPr>
                        <a:xfrm>
                          <a:off x="0" y="0"/>
                          <a:ext cx="1010920" cy="314325"/>
                        </a:xfrm>
                        <a:prstGeom prst="rect">
                          <a:avLst/>
                        </a:prstGeom>
                        <a:solidFill>
                          <a:srgbClr val="FFFFFF"/>
                        </a:solidFill>
                        <a:ln w="19050">
                          <a:solidFill>
                            <a:prstClr val="black"/>
                          </a:solidFill>
                        </a:ln>
                        <a:effectLst/>
                      </wps:spPr>
                      <wps:txbx>
                        <w:txbxContent>
                          <w:p>
                            <w:pPr>
                              <w:jc w:val="center"/>
                              <w:rPr>
                                <w:rFonts w:eastAsia="仿宋"/>
                                <w:b/>
                                <w:bCs/>
                                <w:kern w:val="0"/>
                                <w:sz w:val="24"/>
                                <w:szCs w:val="24"/>
                              </w:rPr>
                            </w:pPr>
                            <w:r>
                              <w:rPr>
                                <w:rFonts w:hint="eastAsia" w:eastAsia="仿宋"/>
                                <w:b/>
                                <w:bCs/>
                                <w:kern w:val="0"/>
                                <w:sz w:val="24"/>
                                <w:szCs w:val="24"/>
                              </w:rPr>
                              <w:t>应急处置组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85pt;margin-top:169.7pt;height:24.75pt;width:79.6pt;z-index:251667456;mso-width-relative:page;mso-height-relative:page;" fillcolor="#FFFFFF" filled="t" stroked="t" coordsize="21600,21600" o:gfxdata="UEsDBAoAAAAAAIdO4kAAAAAAAAAAAAAAAAAEAAAAZHJzL1BLAwQUAAAACACHTuJABC4KONcAAAAK&#10;AQAADwAAAGRycy9kb3ducmV2LnhtbE2PTW+DMAyG75P2HyJP2m0NXVkLlNDDpHFeP6ZdA3EBjTiI&#10;pJT++7mn7WTZfvT6cb6bbS8mHH3nSMFyEYFAqp3pqFFwOn68JCB80GR07wgV3NDDrnh8yHVm3JX2&#10;OB1CIziEfKYVtCEMmZS+btFqv3ADEu/ObrQ6cDs20oz6yuG2l69RtJZWd8QXWj3ge4v1z+FiFbz5&#10;7894ulVd2yRfpSxnu4+PpVLPT8toCyLgHP5guOuzOhTsVLkLGS96BavNhkmuqzQGcQfSdQqi4kmS&#10;pCCLXP5/ofgFUEsDBBQAAAAIAIdO4kC8vqDAXQIAAMgEAAAOAAAAZHJzL2Uyb0RvYy54bWytVM1u&#10;EzEQviPxDpbvdJM0BRp1g0KrIKSKViqIs+P1Zi38h+1ktzwAvAEnLtx5rj4Hn72b9I9DD+zBO/bM&#10;fjPz+Zs9edNpRbbCB2lNSccHI0qE4baSZl3STx+XL15TEiIzFVPWiJJei0DfzJ8/O2ndTExsY1Ul&#10;PAGICbPWlbSJ0c2KIvBGaBYOrBMGztp6zSK2fl1UnrVA16qYjEYvi9b6ynnLRQg4PeuddED0TwG0&#10;dS25OLN8o4WJPaoXikW0FBrpAp3nauta8HhR10FEokqKTmNekQT2Kq3F/ITN1p65RvKhBPaUEh70&#10;pJk0SLqHOmORkY2Xj6C05N4GW8cDbnXRN5IZQRfj0QNurhrmRO4FVAe3Jz38P1j+YXvpiayghENK&#10;DNO48ZufP25+/bn5/Z3gDAS1LswQd+UQGbu3tkPw7jzgMPXd1V6nNzoi8IPe6z29oouEp4/Q4fEE&#10;Lg7f4Xh6ODlKMMXt186H+E5YTZJRUo/ry6yy7XmIfeguJCULVslqKZXKG79enSpPtgxXvczPgH4v&#10;TBnSopTj0dEoQ99zJvA9xkox/uUxBMpVJiUUWV5DYYmjnotkxW7VDcStbHUN3rztpRccX0pkOWch&#10;XjIPrYEPTGO8wFIri9rsYFHSWP/tX+cpHhKAl5IW2i1p+LphXlCi3huI43g8nQI25s306FXi3N/1&#10;rO56zEafWnA2xtw7ns0UH9XOrL3VnzG0i5QVLmY4cpc07szT2E8Uhp6LxSIHQd6OxXNz5XiCToQZ&#10;u9hEW8t8k4mmnhsoIG0g8KyFYRjTBN3d56jbH9D8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Qu&#10;CjjXAAAACgEAAA8AAAAAAAAAAQAgAAAAIgAAAGRycy9kb3ducmV2LnhtbFBLAQIUABQAAAAIAIdO&#10;4kC8vqDAXQIAAMgEAAAOAAAAAAAAAAEAIAAAACYBAABkcnMvZTJvRG9jLnhtbFBLBQYAAAAABgAG&#10;AFkBAAD1BQAAAAA=&#10;">
                <v:fill on="t" focussize="0,0"/>
                <v:stroke weight="1.5pt" color="#000000" joinstyle="round"/>
                <v:imagedata o:title=""/>
                <o:lock v:ext="edit" aspectratio="f"/>
                <v:textbox>
                  <w:txbxContent>
                    <w:p>
                      <w:pPr>
                        <w:jc w:val="center"/>
                        <w:rPr>
                          <w:rFonts w:eastAsia="仿宋"/>
                          <w:b/>
                          <w:bCs/>
                          <w:kern w:val="0"/>
                          <w:sz w:val="24"/>
                          <w:szCs w:val="24"/>
                        </w:rPr>
                      </w:pPr>
                      <w:r>
                        <w:rPr>
                          <w:rFonts w:hint="eastAsia" w:eastAsia="仿宋"/>
                          <w:b/>
                          <w:bCs/>
                          <w:kern w:val="0"/>
                          <w:sz w:val="24"/>
                          <w:szCs w:val="24"/>
                        </w:rPr>
                        <w:t>应急处置组</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756285</wp:posOffset>
                </wp:positionH>
                <wp:positionV relativeFrom="paragraph">
                  <wp:posOffset>1859280</wp:posOffset>
                </wp:positionV>
                <wp:extent cx="6985" cy="275590"/>
                <wp:effectExtent l="51435" t="0" r="63500" b="13970"/>
                <wp:wrapNone/>
                <wp:docPr id="21" name="直接箭头连接符 21"/>
                <wp:cNvGraphicFramePr/>
                <a:graphic xmlns:a="http://schemas.openxmlformats.org/drawingml/2006/main">
                  <a:graphicData uri="http://schemas.microsoft.com/office/word/2010/wordprocessingShape">
                    <wps:wsp>
                      <wps:cNvCnPr/>
                      <wps:spPr>
                        <a:xfrm flipV="1">
                          <a:off x="2439670" y="2924175"/>
                          <a:ext cx="6985" cy="275590"/>
                        </a:xfrm>
                        <a:prstGeom prst="straightConnector1">
                          <a:avLst/>
                        </a:prstGeom>
                        <a:noFill/>
                        <a:ln w="19050" cap="flat" cmpd="sng" algn="ctr">
                          <a:solidFill>
                            <a:srgbClr val="000000"/>
                          </a:solidFill>
                          <a:prstDash val="solid"/>
                          <a:headEnd type="arrow"/>
                          <a:tailEnd type="none"/>
                        </a:ln>
                        <a:effectLst/>
                      </wps:spPr>
                      <wps:bodyPr/>
                    </wps:wsp>
                  </a:graphicData>
                </a:graphic>
              </wp:anchor>
            </w:drawing>
          </mc:Choice>
          <mc:Fallback>
            <w:pict>
              <v:shape id="_x0000_s1026" o:spid="_x0000_s1026" o:spt="32" type="#_x0000_t32" style="position:absolute;left:0pt;flip:y;margin-left:59.55pt;margin-top:146.4pt;height:21.7pt;width:0.55pt;z-index:251674624;mso-width-relative:page;mso-height-relative:page;" filled="f" stroked="t" coordsize="21600,21600" o:gfxdata="UEsDBAoAAAAAAIdO4kAAAAAAAAAAAAAAAAAEAAAAZHJzL1BLAwQUAAAACACHTuJAXSE5+dYAAAAL&#10;AQAADwAAAGRycy9kb3ducmV2LnhtbE2Py07DMBBF90j9B2sqsaN+RFRtiNNFBewpFWxde0iixnaI&#10;3Sb8PdMVLK/m6M651W72PbvimLoYNMiVAIbBRteFRsPx/eVhAyxlE5zpY0ANP5hgVy/uKlO6OIU3&#10;vB5yw6gkpNJoaHMeSs6TbdGbtIoDBrp9xdGbTHFsuBvNROW+50qINfemC/ShNQPuW7Tnw8VrsB+P&#10;8ryfj2kumu9XOz1/im5TaH2/lOIJWMY5/8Fw0yd1qMnpFC/BJdZTlltJqAa1VbThRiihgJ00FMVa&#10;Aa8r/n9D/QtQSwMEFAAAAAgAh07iQJlad1seAgAACAQAAA4AAABkcnMvZTJvRG9jLnhtbK1TvY4T&#10;MRDukXgHyz3ZJFySS5TNFQlHg+AkfvqJ17tryX8a+7LJS/ACSFRABVTX8zRwPAZjbziOo7mCLayZ&#10;Hc83830zXp7tjWY7iUE5W/LRYMiZtMJVyjYlf/3q/NEpZyGCrUA7K0t+kIGfrR4+WHZ+IceudbqS&#10;yAjEhkXnS97G6BdFEUQrDYSB89JSsHZoIJKLTVEhdIRudDEeDqdF57Dy6IQMgf5u+iA/IuJ9AF1d&#10;KyE3TlwaaWOPilJDJEqhVT7wVe62rqWIL+o6yMh0yYlpzCcVIXubzmK1hEWD4Fslji3AfVq4w8mA&#10;slT0BmoDEdglqn+gjBLogqvjQDhT9ESyIsRiNLyjzcsWvMxcSOrgb0QP/w9WPN9dIFNVyccjziwY&#10;mvj1u6sfbz9ef/3y/cPVz2/vk/35E6M4idX5sKCctb3Aoxf8BSbm+xoNq7Xyb2irshbEju0J+OTx&#10;fDojwQ9kz8cno9mkl13uIxN0YTo/nXAmUng2mczzUIoeMAF7DPGpdIYlo+QhIqimjWtnLY3XYV8M&#10;ds9CpJYo8XdCSrbuXGmdp6wt66i1+XBCvQig1a1pZcg0nugH23AGuqE3ISLm/oPTqkrpCShgs11r&#10;ZDtIm5S/xILK/XUt1d5AaPt7OdSTbSVUT2zF4sGTxIDouj4QQek/AUtv7oirbaor8xIfuSX1e72T&#10;tXXVIY+hSB4tSG7nuMxpA2/7ZN9+wK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XSE5+dYAAAAL&#10;AQAADwAAAAAAAAABACAAAAAiAAAAZHJzL2Rvd25yZXYueG1sUEsBAhQAFAAAAAgAh07iQJlad1se&#10;AgAACAQAAA4AAAAAAAAAAQAgAAAAJQEAAGRycy9lMm9Eb2MueG1sUEsFBgAAAAAGAAYAWQEAALUF&#10;AAAAAA==&#10;">
                <v:fill on="f" focussize="0,0"/>
                <v:stroke weight="1.5pt" color="#000000" joinstyle="round" start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-166370</wp:posOffset>
                </wp:positionH>
                <wp:positionV relativeFrom="paragraph">
                  <wp:posOffset>2959735</wp:posOffset>
                </wp:positionV>
                <wp:extent cx="1818640" cy="1514475"/>
                <wp:effectExtent l="9525" t="0" r="15875" b="15240"/>
                <wp:wrapNone/>
                <wp:docPr id="27" name="文本框 27"/>
                <wp:cNvGraphicFramePr/>
                <a:graphic xmlns:a="http://schemas.openxmlformats.org/drawingml/2006/main">
                  <a:graphicData uri="http://schemas.microsoft.com/office/word/2010/wordprocessingShape">
                    <wps:wsp>
                      <wps:cNvSpPr txBox="1"/>
                      <wps:spPr>
                        <a:xfrm>
                          <a:off x="1661795" y="4519930"/>
                          <a:ext cx="1818640" cy="1514475"/>
                        </a:xfrm>
                        <a:prstGeom prst="rect">
                          <a:avLst/>
                        </a:prstGeom>
                        <a:solidFill>
                          <a:srgbClr val="FFFFFF"/>
                        </a:solidFill>
                        <a:ln w="19050">
                          <a:solidFill>
                            <a:prstClr val="black"/>
                          </a:solidFill>
                        </a:ln>
                        <a:effectLst/>
                      </wps:spPr>
                      <wps:txbx>
                        <w:txbxContent>
                          <w:p>
                            <w:pPr>
                              <w:jc w:val="center"/>
                              <w:rPr>
                                <w:color w:val="auto"/>
                              </w:rPr>
                            </w:pPr>
                            <w:r>
                              <w:rPr>
                                <w:lang w:val="zh-CN"/>
                              </w:rPr>
                              <w:t>由区政府负责，</w:t>
                            </w:r>
                            <w:r>
                              <w:rPr>
                                <w:rFonts w:hint="eastAsia"/>
                                <w:color w:val="auto"/>
                                <w:lang w:val="zh-CN"/>
                              </w:rPr>
                              <w:t>区府办、</w:t>
                            </w:r>
                            <w:r>
                              <w:rPr>
                                <w:color w:val="auto"/>
                                <w:lang w:val="zh-CN"/>
                              </w:rPr>
                              <w:t>区应急管理局</w:t>
                            </w:r>
                            <w:r>
                              <w:rPr>
                                <w:rFonts w:hint="eastAsia"/>
                                <w:color w:val="auto"/>
                                <w:lang w:val="zh-CN"/>
                              </w:rPr>
                              <w:t>、</w:t>
                            </w:r>
                            <w:r>
                              <w:rPr>
                                <w:color w:val="auto"/>
                                <w:lang w:val="zh-CN"/>
                              </w:rPr>
                              <w:t>区消防大队</w:t>
                            </w:r>
                            <w:r>
                              <w:rPr>
                                <w:rFonts w:hint="eastAsia"/>
                                <w:color w:val="auto"/>
                                <w:lang w:val="zh-CN"/>
                              </w:rPr>
                              <w:t>、</w:t>
                            </w:r>
                            <w:r>
                              <w:rPr>
                                <w:color w:val="auto"/>
                                <w:lang w:val="zh-CN"/>
                              </w:rPr>
                              <w:t>区生态环境局</w:t>
                            </w:r>
                            <w:r>
                              <w:rPr>
                                <w:rFonts w:hint="eastAsia"/>
                                <w:color w:val="auto"/>
                                <w:lang w:val="zh-CN"/>
                              </w:rPr>
                              <w:t>、</w:t>
                            </w:r>
                            <w:r>
                              <w:rPr>
                                <w:color w:val="auto"/>
                                <w:lang w:val="zh-CN"/>
                              </w:rPr>
                              <w:t>区农业农村局</w:t>
                            </w:r>
                            <w:r>
                              <w:rPr>
                                <w:rFonts w:hint="eastAsia"/>
                                <w:color w:val="auto"/>
                                <w:lang w:val="zh-CN"/>
                              </w:rPr>
                              <w:t>、</w:t>
                            </w:r>
                            <w:r>
                              <w:rPr>
                                <w:color w:val="auto"/>
                                <w:lang w:val="zh-CN"/>
                              </w:rPr>
                              <w:t>区自然资源局</w:t>
                            </w:r>
                            <w:r>
                              <w:rPr>
                                <w:rFonts w:hint="eastAsia"/>
                                <w:color w:val="auto"/>
                                <w:lang w:val="zh-CN"/>
                              </w:rPr>
                              <w:t>、</w:t>
                            </w:r>
                            <w:r>
                              <w:rPr>
                                <w:color w:val="auto"/>
                                <w:lang w:val="zh-CN"/>
                              </w:rPr>
                              <w:t>区住建局</w:t>
                            </w:r>
                            <w:r>
                              <w:rPr>
                                <w:rFonts w:hint="eastAsia"/>
                                <w:color w:val="auto"/>
                                <w:lang w:val="zh-CN"/>
                              </w:rPr>
                              <w:t>、</w:t>
                            </w:r>
                            <w:r>
                              <w:rPr>
                                <w:color w:val="auto"/>
                                <w:lang w:val="zh-CN"/>
                              </w:rPr>
                              <w:t>城厢区交通运输局</w:t>
                            </w:r>
                            <w:r>
                              <w:rPr>
                                <w:rFonts w:hint="eastAsia"/>
                                <w:color w:val="auto"/>
                                <w:lang w:val="zh-CN"/>
                              </w:rPr>
                              <w:t>、</w:t>
                            </w:r>
                            <w:r>
                              <w:rPr>
                                <w:color w:val="auto"/>
                                <w:lang w:val="zh-CN"/>
                              </w:rPr>
                              <w:t>区公安局</w:t>
                            </w:r>
                            <w:r>
                              <w:rPr>
                                <w:rFonts w:hint="eastAsia"/>
                                <w:color w:val="auto"/>
                                <w:lang w:val="zh-CN"/>
                              </w:rPr>
                              <w:t>、</w:t>
                            </w:r>
                            <w:r>
                              <w:rPr>
                                <w:color w:val="auto"/>
                                <w:lang w:val="zh-CN"/>
                              </w:rPr>
                              <w:t>区水利局相关部门参与</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233.05pt;height:119.25pt;width:143.2pt;z-index:251675648;mso-width-relative:page;mso-height-relative:page;" fillcolor="#FFFFFF" filled="t" stroked="t" coordsize="21600,21600" o:gfxdata="UEsDBAoAAAAAAIdO4kAAAAAAAAAAAAAAAAAEAAAAZHJzL1BLAwQUAAAACACHTuJA/rFYdNcAAAAL&#10;AQAADwAAAGRycy9kb3ducmV2LnhtbE2PwU7DMAyG70i8Q2QkblvSqoSpNN0BiZ7ZxsQ1bUJT0ThV&#10;k3Xd22NOcLT96ff3V/vVj2yxcxwCKsi2ApjFLpgBewUfp7fNDlhMGo0eA1oFNxthX9/fVbo04YoH&#10;uxxTzygEY6kVuJSmkvPYOet13IbJIt2+wux1onHuuZn1lcL9yHMhJPd6QPrg9GRfne2+jxev4Cl+&#10;vhfLrR1cvzs3vFn9oTg1Sj0+ZOIFWLJr+oPhV5/UoSanNlzQRDYq2OQyJ1RBIWUGjIhcCtq0Cp5F&#10;IYHXFf/fof4BUEsDBBQAAAAIAIdO4kBtoWhwagIAANUEAAAOAAAAZHJzL2Uyb0RvYy54bWytVM1u&#10;1DAQviPxDpbvNJtl/9VstbRahFTRSgVx9jrOxsL2GNu7SXkA+gacuHDnufocjJ1sfzn0QA7OjGf0&#10;zcznzz4+abUie+G8BFPQ/GhAiTAcSmm2Bf38af1mRokPzJRMgREFvRaenixfvzpu7EIMoQZVCkcQ&#10;xPhFYwtah2AXWeZ5LTTzR2CFwWAFTrOArttmpWMNomuVDQeDSdaAK60DLrzH3bMuSHtE9xJAqCrJ&#10;xRnwnRYmdKhOKBZwJF9L6+kydVtVgoeLqvIiEFVQnDSkFYugvYlrtjxmi61jtpa8b4G9pIUnM2km&#10;DRa9gzpjgZGdk8+gtOQOPFThiIPOukESIzhFPnjCzVXNrEizINXe3pHu/x8s/7i/dESWBR1OKTFM&#10;44nf/ry5/fXn9vcPgntIUGP9AvOuLGaG9h20KJvDvsfNOHdbOR3/OBGJ8ckkn87HlFwXdDTO5/O3&#10;PdWiDYTHhFk+m4zwFDhm5ON8NJqOI2Z2D2WdD+8FaBKNgjo8y0Qx25/70KUeUmJlD0qWa6lUctx2&#10;c6oc2TM893X6evRHacqQBsvPB+NBgn4UjOB3GBvF+NfnENiuMrGgSFrrG4uEdcREK7SbtmdxA+U1&#10;kuig06G3fC2xyjnz4ZI5FB4SglczXOBSKcDeoLcoqcF9/9d+zEc9YJSSBoVcUP9tx5ygRH0wqJQ5&#10;chuVn5zReDpExz2MbB5GzE6fAnKW4yNgeTJjflAHs3Kgv+ANXsWqGGKGY+2ChoN5GrrrhS8AF6tV&#10;SkKtWxbOzZXlEToSZmC1C1DJdJKRpo4bVEB0UO1JC/3NjNfpoZ+y7l+j5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sVh01wAAAAsBAAAPAAAAAAAAAAEAIAAAACIAAABkcnMvZG93bnJldi54bWxQ&#10;SwECFAAUAAAACACHTuJAbaFocGoCAADVBAAADgAAAAAAAAABACAAAAAmAQAAZHJzL2Uyb0RvYy54&#10;bWxQSwUGAAAAAAYABgBZAQAAAgYAAAAA&#10;">
                <v:fill on="t" focussize="0,0"/>
                <v:stroke weight="1.5pt" color="#000000" joinstyle="round"/>
                <v:imagedata o:title=""/>
                <o:lock v:ext="edit" aspectratio="f"/>
                <v:textbox>
                  <w:txbxContent>
                    <w:p>
                      <w:pPr>
                        <w:jc w:val="center"/>
                        <w:rPr>
                          <w:color w:val="auto"/>
                        </w:rPr>
                      </w:pPr>
                      <w:r>
                        <w:rPr>
                          <w:lang w:val="zh-CN"/>
                        </w:rPr>
                        <w:t>由区政府负责，</w:t>
                      </w:r>
                      <w:r>
                        <w:rPr>
                          <w:rFonts w:hint="eastAsia"/>
                          <w:color w:val="auto"/>
                          <w:lang w:val="zh-CN"/>
                        </w:rPr>
                        <w:t>区府办、</w:t>
                      </w:r>
                      <w:r>
                        <w:rPr>
                          <w:color w:val="auto"/>
                          <w:lang w:val="zh-CN"/>
                        </w:rPr>
                        <w:t>区应急管理局</w:t>
                      </w:r>
                      <w:r>
                        <w:rPr>
                          <w:rFonts w:hint="eastAsia"/>
                          <w:color w:val="auto"/>
                          <w:lang w:val="zh-CN"/>
                        </w:rPr>
                        <w:t>、</w:t>
                      </w:r>
                      <w:r>
                        <w:rPr>
                          <w:color w:val="auto"/>
                          <w:lang w:val="zh-CN"/>
                        </w:rPr>
                        <w:t>区消防大队</w:t>
                      </w:r>
                      <w:r>
                        <w:rPr>
                          <w:rFonts w:hint="eastAsia"/>
                          <w:color w:val="auto"/>
                          <w:lang w:val="zh-CN"/>
                        </w:rPr>
                        <w:t>、</w:t>
                      </w:r>
                      <w:r>
                        <w:rPr>
                          <w:color w:val="auto"/>
                          <w:lang w:val="zh-CN"/>
                        </w:rPr>
                        <w:t>区生态环境局</w:t>
                      </w:r>
                      <w:r>
                        <w:rPr>
                          <w:rFonts w:hint="eastAsia"/>
                          <w:color w:val="auto"/>
                          <w:lang w:val="zh-CN"/>
                        </w:rPr>
                        <w:t>、</w:t>
                      </w:r>
                      <w:r>
                        <w:rPr>
                          <w:color w:val="auto"/>
                          <w:lang w:val="zh-CN"/>
                        </w:rPr>
                        <w:t>区农业农村局</w:t>
                      </w:r>
                      <w:r>
                        <w:rPr>
                          <w:rFonts w:hint="eastAsia"/>
                          <w:color w:val="auto"/>
                          <w:lang w:val="zh-CN"/>
                        </w:rPr>
                        <w:t>、</w:t>
                      </w:r>
                      <w:r>
                        <w:rPr>
                          <w:color w:val="auto"/>
                          <w:lang w:val="zh-CN"/>
                        </w:rPr>
                        <w:t>区自然资源局</w:t>
                      </w:r>
                      <w:r>
                        <w:rPr>
                          <w:rFonts w:hint="eastAsia"/>
                          <w:color w:val="auto"/>
                          <w:lang w:val="zh-CN"/>
                        </w:rPr>
                        <w:t>、</w:t>
                      </w:r>
                      <w:r>
                        <w:rPr>
                          <w:color w:val="auto"/>
                          <w:lang w:val="zh-CN"/>
                        </w:rPr>
                        <w:t>区住建局</w:t>
                      </w:r>
                      <w:r>
                        <w:rPr>
                          <w:rFonts w:hint="eastAsia"/>
                          <w:color w:val="auto"/>
                          <w:lang w:val="zh-CN"/>
                        </w:rPr>
                        <w:t>、</w:t>
                      </w:r>
                      <w:r>
                        <w:rPr>
                          <w:color w:val="auto"/>
                          <w:lang w:val="zh-CN"/>
                        </w:rPr>
                        <w:t>城厢区交通运输局</w:t>
                      </w:r>
                      <w:r>
                        <w:rPr>
                          <w:rFonts w:hint="eastAsia"/>
                          <w:color w:val="auto"/>
                          <w:lang w:val="zh-CN"/>
                        </w:rPr>
                        <w:t>、</w:t>
                      </w:r>
                      <w:r>
                        <w:rPr>
                          <w:color w:val="auto"/>
                          <w:lang w:val="zh-CN"/>
                        </w:rPr>
                        <w:t>区公安局</w:t>
                      </w:r>
                      <w:r>
                        <w:rPr>
                          <w:rFonts w:hint="eastAsia"/>
                          <w:color w:val="auto"/>
                          <w:lang w:val="zh-CN"/>
                        </w:rPr>
                        <w:t>、</w:t>
                      </w:r>
                      <w:r>
                        <w:rPr>
                          <w:color w:val="auto"/>
                          <w:lang w:val="zh-CN"/>
                        </w:rPr>
                        <w:t>区水利局相关部门参与</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6196330</wp:posOffset>
                </wp:positionH>
                <wp:positionV relativeFrom="paragraph">
                  <wp:posOffset>2968625</wp:posOffset>
                </wp:positionV>
                <wp:extent cx="2759710" cy="2249170"/>
                <wp:effectExtent l="9525" t="0" r="19685" b="12065"/>
                <wp:wrapNone/>
                <wp:docPr id="33" name="文本框 33"/>
                <wp:cNvGraphicFramePr/>
                <a:graphic xmlns:a="http://schemas.openxmlformats.org/drawingml/2006/main">
                  <a:graphicData uri="http://schemas.microsoft.com/office/word/2010/wordprocessingShape">
                    <wps:wsp>
                      <wps:cNvSpPr txBox="1"/>
                      <wps:spPr>
                        <a:xfrm>
                          <a:off x="0" y="0"/>
                          <a:ext cx="2759710" cy="2249170"/>
                        </a:xfrm>
                        <a:prstGeom prst="rect">
                          <a:avLst/>
                        </a:prstGeom>
                        <a:solidFill>
                          <a:srgbClr val="FFFFFF"/>
                        </a:solidFill>
                        <a:ln w="19050">
                          <a:solidFill>
                            <a:prstClr val="black"/>
                          </a:solidFill>
                        </a:ln>
                        <a:effectLst/>
                      </wps:spPr>
                      <wps:txbx>
                        <w:txbxContent>
                          <w:p>
                            <w:pPr>
                              <w:spacing w:line="280" w:lineRule="exact"/>
                              <w:rPr>
                                <w:color w:val="auto"/>
                                <w:sz w:val="22"/>
                                <w:szCs w:val="22"/>
                              </w:rPr>
                            </w:pPr>
                            <w:r>
                              <w:rPr>
                                <w:color w:val="auto"/>
                                <w:sz w:val="22"/>
                                <w:szCs w:val="22"/>
                                <w:lang w:val="zh-CN"/>
                              </w:rPr>
                              <w:t>警戒和治安由区公安局牵头，相关乡镇人民政府等部门参与</w:t>
                            </w:r>
                            <w:r>
                              <w:rPr>
                                <w:rFonts w:hint="eastAsia"/>
                                <w:color w:val="auto"/>
                                <w:sz w:val="22"/>
                                <w:szCs w:val="22"/>
                                <w:lang w:val="zh-CN"/>
                              </w:rPr>
                              <w:t>；</w:t>
                            </w:r>
                            <w:r>
                              <w:rPr>
                                <w:color w:val="auto"/>
                                <w:sz w:val="22"/>
                                <w:szCs w:val="22"/>
                                <w:lang w:val="zh-CN"/>
                              </w:rPr>
                              <w:t>医疗救护和卫生防疫由区卫生健康局牵头，各区内医院公共卫生专业机构等部门参与</w:t>
                            </w:r>
                            <w:r>
                              <w:rPr>
                                <w:rFonts w:hint="eastAsia"/>
                                <w:color w:val="auto"/>
                                <w:sz w:val="22"/>
                                <w:szCs w:val="22"/>
                                <w:lang w:val="zh-CN"/>
                              </w:rPr>
                              <w:t>；</w:t>
                            </w:r>
                            <w:r>
                              <w:rPr>
                                <w:color w:val="auto"/>
                                <w:sz w:val="22"/>
                                <w:szCs w:val="22"/>
                                <w:lang w:val="zh-CN"/>
                              </w:rPr>
                              <w:t>新闻宣传由</w:t>
                            </w:r>
                            <w:r>
                              <w:rPr>
                                <w:rFonts w:hint="eastAsia"/>
                                <w:color w:val="auto"/>
                                <w:sz w:val="22"/>
                                <w:szCs w:val="22"/>
                                <w:lang w:val="zh-CN"/>
                              </w:rPr>
                              <w:t>区委宣传部</w:t>
                            </w:r>
                            <w:r>
                              <w:rPr>
                                <w:color w:val="auto"/>
                                <w:sz w:val="22"/>
                                <w:szCs w:val="22"/>
                                <w:lang w:val="zh-CN"/>
                              </w:rPr>
                              <w:t>牵头，通信公司等部门参与</w:t>
                            </w:r>
                            <w:r>
                              <w:rPr>
                                <w:rFonts w:hint="eastAsia"/>
                                <w:color w:val="auto"/>
                                <w:sz w:val="22"/>
                                <w:szCs w:val="22"/>
                                <w:lang w:val="zh-CN"/>
                              </w:rPr>
                              <w:t>；区环卫处负责做好突发环境污染事故发生地一般废弃物的集中清理、清运和无害化处理工作。区气象局负责提供饮用水源地突发环境事件现场及周边地区气象条件的数据；负责现场应急区域及周边可能影响区域的中、短期天气预报，负责提供现场污染扩散气象条件的预测预报。</w:t>
                            </w:r>
                          </w:p>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7.9pt;margin-top:233.75pt;height:177.1pt;width:217.3pt;z-index:251679744;mso-width-relative:page;mso-height-relative:page;" fillcolor="#FFFFFF" filled="t" stroked="t" coordsize="21600,21600" o:gfxdata="UEsDBAoAAAAAAIdO4kAAAAAAAAAAAAAAAAAEAAAAZHJzL1BLAwQUAAAACACHTuJAbJhfbdgAAAAM&#10;AQAADwAAAGRycy9kb3ducmV2LnhtbE2PMW+DMBSE90r9D9ar1K2xiSBQyiNDpTI3SauuBr9iVGwj&#10;7BDy7+tM7Xi609131X41I1to9oOzCMlGACPbOTXYHuHj9PZUAPNBWiVHZwnhSh729f1dJUvlLvZA&#10;yzH0LJZYX0oEHcJUcu47TUb6jZvIRu/bzUaGKOeeq1leYrkZ+VaIHTdysHFBy4leNXU/x7NByPzX&#10;e7pc20H3xWfDm9Uc0lOD+PiQiBdggdbwF4YbfkSHOjK17myVZyPCc55F9ICQ7vIM2C2RJiIF1iIU&#10;2yQHXlf8/4n6F1BLAwQUAAAACACHTuJAMyPOPGMCAADJBAAADgAAAGRycy9lMm9Eb2MueG1srVTN&#10;bhMxEL4j8Q6W73STNCUk6qYKqYKQKlopIM6O15u18NrGdrJbHgDegBMX7jxXn4PP3iRNWw49kMNm&#10;/vabmW9m9vyirRXZCuel0Tntn/QoEZqbQup1Tj99XLx6Q4kPTBdMGS1yeis8vZi+fHHe2IkYmMqo&#10;QjgCEO0njc1pFYKdZJnnlaiZPzFWaDhL42oWoLp1VjjWAL1W2aDXe501xhXWGS68h/Wyc9IdonsO&#10;oClLycWl4Zta6NChOqFYQEu+ktbTaaq2LAUP12XpRSAqp+g0pCeSQF7FZzY9Z5O1Y7aSfFcCe04J&#10;j3qqmdRIeoC6ZIGRjZNPoGrJnfGmDCfc1FnXSGIEXfR7j7hZVsyK1Auo9vZAuv9/sPzD9sYRWeT0&#10;9JQSzWpM/O7nj7tff+5+fyewgaDG+gnilhaRoX1rWqzN3u5hjH23pavjPzoi8IPe2wO9og2EwzgY&#10;nY1Hfbg4fIPBcNwfpQFk969b58M7YWoShZw6zC/RyrZXPqAUhO5DYjZvlCwWUqmkuPVqrhzZMsx6&#10;kX6xSrzyIExp0qCBce+sl6AfOCP4AWOlGP/yFAKASseEIu3XrrBIUkdGlEK7anfMrUxxC+Kc6XbP&#10;W76QyHLFfLhhDssGQnCO4RqPUhnUZnYSJZVx3/5lj/HYAXgpabC8OfVfN8wJStR7je0Y94dDwIak&#10;DM9GAyju2LM69uhNPTfgrI/DtzyJMT6ovVg6U3/G1c5iVriY5sid07AX56E7KVw9F7NZCsJ+Wxau&#10;9NLyCB0J02a2CaaUaZKRpo4bzCgq2PA0rd01xhM61lPU/Rdo+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smF9t2AAAAAwBAAAPAAAAAAAAAAEAIAAAACIAAABkcnMvZG93bnJldi54bWxQSwECFAAU&#10;AAAACACHTuJAMyPOPGMCAADJBAAADgAAAAAAAAABACAAAAAnAQAAZHJzL2Uyb0RvYy54bWxQSwUG&#10;AAAAAAYABgBZAQAA/AUAAAAA&#10;">
                <v:fill on="t" focussize="0,0"/>
                <v:stroke weight="1.5pt" color="#000000" joinstyle="round"/>
                <v:imagedata o:title=""/>
                <o:lock v:ext="edit" aspectratio="f"/>
                <v:textbox>
                  <w:txbxContent>
                    <w:p>
                      <w:pPr>
                        <w:spacing w:line="280" w:lineRule="exact"/>
                        <w:rPr>
                          <w:color w:val="auto"/>
                          <w:sz w:val="22"/>
                          <w:szCs w:val="22"/>
                        </w:rPr>
                      </w:pPr>
                      <w:r>
                        <w:rPr>
                          <w:color w:val="auto"/>
                          <w:sz w:val="22"/>
                          <w:szCs w:val="22"/>
                          <w:lang w:val="zh-CN"/>
                        </w:rPr>
                        <w:t>警戒和治安由区公安局牵头，相关乡镇人民政府等部门参与</w:t>
                      </w:r>
                      <w:r>
                        <w:rPr>
                          <w:rFonts w:hint="eastAsia"/>
                          <w:color w:val="auto"/>
                          <w:sz w:val="22"/>
                          <w:szCs w:val="22"/>
                          <w:lang w:val="zh-CN"/>
                        </w:rPr>
                        <w:t>；</w:t>
                      </w:r>
                      <w:r>
                        <w:rPr>
                          <w:color w:val="auto"/>
                          <w:sz w:val="22"/>
                          <w:szCs w:val="22"/>
                          <w:lang w:val="zh-CN"/>
                        </w:rPr>
                        <w:t>医疗救护和卫生防疫由区卫生健康局牵头，各区内医院公共卫生专业机构等部门参与</w:t>
                      </w:r>
                      <w:r>
                        <w:rPr>
                          <w:rFonts w:hint="eastAsia"/>
                          <w:color w:val="auto"/>
                          <w:sz w:val="22"/>
                          <w:szCs w:val="22"/>
                          <w:lang w:val="zh-CN"/>
                        </w:rPr>
                        <w:t>；</w:t>
                      </w:r>
                      <w:r>
                        <w:rPr>
                          <w:color w:val="auto"/>
                          <w:sz w:val="22"/>
                          <w:szCs w:val="22"/>
                          <w:lang w:val="zh-CN"/>
                        </w:rPr>
                        <w:t>新闻宣传由</w:t>
                      </w:r>
                      <w:r>
                        <w:rPr>
                          <w:rFonts w:hint="eastAsia"/>
                          <w:color w:val="auto"/>
                          <w:sz w:val="22"/>
                          <w:szCs w:val="22"/>
                          <w:lang w:val="zh-CN"/>
                        </w:rPr>
                        <w:t>区委宣传部</w:t>
                      </w:r>
                      <w:r>
                        <w:rPr>
                          <w:color w:val="auto"/>
                          <w:sz w:val="22"/>
                          <w:szCs w:val="22"/>
                          <w:lang w:val="zh-CN"/>
                        </w:rPr>
                        <w:t>牵头，通信公司等部门参与</w:t>
                      </w:r>
                      <w:r>
                        <w:rPr>
                          <w:rFonts w:hint="eastAsia"/>
                          <w:color w:val="auto"/>
                          <w:sz w:val="22"/>
                          <w:szCs w:val="22"/>
                          <w:lang w:val="zh-CN"/>
                        </w:rPr>
                        <w:t>；区环卫处负责做好突发环境污染事故发生地一般废弃物的集中清理、清运和无害化处理工作。区气象局负责提供饮用水源地突发环境事件现场及周边地区气象条件的数据；负责现场应急区域及周边可能影响区域的中、短期天气预报，负责提供现场污染扩散气象条件的预测预报。</w:t>
                      </w:r>
                    </w:p>
                    <w:p/>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4996180</wp:posOffset>
                </wp:positionH>
                <wp:positionV relativeFrom="paragraph">
                  <wp:posOffset>2959100</wp:posOffset>
                </wp:positionV>
                <wp:extent cx="1112520" cy="1524000"/>
                <wp:effectExtent l="9525" t="0" r="20955" b="20955"/>
                <wp:wrapNone/>
                <wp:docPr id="31" name="文本框 31"/>
                <wp:cNvGraphicFramePr/>
                <a:graphic xmlns:a="http://schemas.openxmlformats.org/drawingml/2006/main">
                  <a:graphicData uri="http://schemas.microsoft.com/office/word/2010/wordprocessingShape">
                    <wps:wsp>
                      <wps:cNvSpPr txBox="1"/>
                      <wps:spPr>
                        <a:xfrm>
                          <a:off x="0" y="0"/>
                          <a:ext cx="1112520" cy="1524000"/>
                        </a:xfrm>
                        <a:prstGeom prst="rect">
                          <a:avLst/>
                        </a:prstGeom>
                        <a:solidFill>
                          <a:srgbClr val="FFFFFF"/>
                        </a:solidFill>
                        <a:ln w="19050">
                          <a:solidFill>
                            <a:prstClr val="black"/>
                          </a:solidFill>
                        </a:ln>
                        <a:effectLst/>
                      </wps:spPr>
                      <wps:txbx>
                        <w:txbxContent>
                          <w:p>
                            <w:pPr>
                              <w:jc w:val="center"/>
                              <w:rPr>
                                <w:lang w:val="zh-CN"/>
                              </w:rPr>
                            </w:pPr>
                            <w:r>
                              <w:rPr>
                                <w:lang w:val="zh-CN"/>
                              </w:rPr>
                              <w:t>由区饮用水源地应急办聘请应急专家组由环保、安监、水利等部门专家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3.4pt;margin-top:233pt;height:120pt;width:87.6pt;z-index:251678720;mso-width-relative:page;mso-height-relative:page;" fillcolor="#FFFFFF" filled="t" stroked="t" coordsize="21600,21600" o:gfxdata="UEsDBAoAAAAAAIdO4kAAAAAAAAAAAAAAAAAEAAAAZHJzL1BLAwQUAAAACACHTuJA1lvwBNYAAAAL&#10;AQAADwAAAGRycy9kb3ducmV2LnhtbE2PzU7DMBCE70i8g7VI3KjdKpiQxukBiZzpD+LqxG4cEa+j&#10;2E3Tt2c5wW13ZzT7Tblb/MBmO8U+oIL1SgCz2AbTY6fgdHx/yoHFpNHoIaBVcLMRdtX9XakLE664&#10;t/MhdYxCMBZagUtpLDiPrbNex1UYLZJ2DpPXidap42bSVwr3A98IIbnXPdIHp0f75mz7fbh4Bc/x&#10;6yObb03vuvyz5vXi99mxVurxYS22wJJd0p8ZfvEJHSpiasIFTWSDgpdcEnpSkElJpcjxKjc0NCQJ&#10;uvCq5P87VD9QSwMEFAAAAAgAh07iQAcFW5xhAgAAyQQAAA4AAABkcnMvZTJvRG9jLnhtbK1UzW4T&#10;MRC+I/EOlu90d0MCNOqmCq2CkCpaKSDOjtebtfDaxnayWx4A3oATF+48V5+Dz94k/ePQAzk4M57x&#10;NzPfzOzJad8qshXOS6NLWhzllAjNTSX1uqSfPi5evKHEB6YrpowWJb0Wnp7Onj876exUjExjVCUc&#10;AYj2086WtAnBTrPM80a0zB8ZKzSMtXEtC1DdOqsc64DeqmyU56+yzrjKOsOF97g9H4x0h+ieAmjq&#10;WnJxbvimFToMqE4oFlCSb6T1dJayrWvBw2VdexGIKikqDelEEMireGazEzZdO2YbyXcpsKek8KCm&#10;lkmNoAeocxYY2Tj5CKqV3Blv6nDETZsNhSRGUEWRP+Bm2TArUi2g2tsD6f7/wfIP2ytHZFXSlwUl&#10;mrXo+M3PHze//tz8/k5wB4I666fwW1p4hv6t6TE2+3uPy1h3X7s2/qMiAjvovT7QK/pAeHxUFKPJ&#10;CCYOWzEZjfM8NSC7fW6dD++EaUkUSurQv0Qr2174gFTguneJ0bxRslpIpZLi1qsz5ciWodeL9ItZ&#10;4sk9N6VJh/DH+SRP0PeMEfyAsVKMf3kMAUClY0CR5muXWCRpICNKoV/1O+ZWproGcc4Ms+ctX0hE&#10;uWA+XDGHYQMhWMdwiaNWBrmZnURJY9y3f91Hf8wArJR0GN6S+q8b5gQl6r3GdBwX4zFgQ1LGk9eR&#10;dHfXsrpr0Zv2zIAzDACyS2L0D2ov1s60n7G18xgVJqY5Ypc07MWzMKwUtp6L+Tw5Yb4tCxd6aXmE&#10;joRpM98EU8vUyUjTwA16FBVMeOrWbhvjCt3Vk9ftF2j2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Zb8ATWAAAACwEAAA8AAAAAAAAAAQAgAAAAIgAAAGRycy9kb3ducmV2LnhtbFBLAQIUABQAAAAI&#10;AIdO4kAHBVucYQIAAMkEAAAOAAAAAAAAAAEAIAAAACUBAABkcnMvZTJvRG9jLnhtbFBLBQYAAAAA&#10;BgAGAFkBAAD4BQAAAAA=&#10;">
                <v:fill on="t" focussize="0,0"/>
                <v:stroke weight="1.5pt" color="#000000" joinstyle="round"/>
                <v:imagedata o:title=""/>
                <o:lock v:ext="edit" aspectratio="f"/>
                <v:textbox>
                  <w:txbxContent>
                    <w:p>
                      <w:pPr>
                        <w:jc w:val="center"/>
                        <w:rPr>
                          <w:lang w:val="zh-CN"/>
                        </w:rPr>
                      </w:pPr>
                      <w:r>
                        <w:rPr>
                          <w:lang w:val="zh-CN"/>
                        </w:rPr>
                        <w:t>由区饮用水源地应急办聘请应急专家组由环保、安监、水利等部门专家</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3757930</wp:posOffset>
                </wp:positionH>
                <wp:positionV relativeFrom="paragraph">
                  <wp:posOffset>2959735</wp:posOffset>
                </wp:positionV>
                <wp:extent cx="1170305" cy="1514475"/>
                <wp:effectExtent l="9525" t="0" r="24130" b="15240"/>
                <wp:wrapNone/>
                <wp:docPr id="30" name="文本框 30"/>
                <wp:cNvGraphicFramePr/>
                <a:graphic xmlns:a="http://schemas.openxmlformats.org/drawingml/2006/main">
                  <a:graphicData uri="http://schemas.microsoft.com/office/word/2010/wordprocessingShape">
                    <wps:wsp>
                      <wps:cNvSpPr txBox="1"/>
                      <wps:spPr>
                        <a:xfrm>
                          <a:off x="0" y="0"/>
                          <a:ext cx="1170305" cy="1514475"/>
                        </a:xfrm>
                        <a:prstGeom prst="rect">
                          <a:avLst/>
                        </a:prstGeom>
                        <a:solidFill>
                          <a:srgbClr val="FFFFFF"/>
                        </a:solidFill>
                        <a:ln w="19050">
                          <a:solidFill>
                            <a:prstClr val="black"/>
                          </a:solidFill>
                        </a:ln>
                        <a:effectLst/>
                      </wps:spPr>
                      <wps:txbx>
                        <w:txbxContent>
                          <w:p>
                            <w:pPr>
                              <w:jc w:val="center"/>
                            </w:pPr>
                            <w:r>
                              <w:rPr>
                                <w:lang w:val="zh-CN"/>
                              </w:rPr>
                              <w:t>由区政府</w:t>
                            </w:r>
                            <w:r>
                              <w:rPr>
                                <w:rFonts w:hint="eastAsia"/>
                                <w:color w:val="auto"/>
                                <w:lang w:val="zh-CN"/>
                              </w:rPr>
                              <w:t>区水利局、区生态环境局、区</w:t>
                            </w:r>
                            <w:r>
                              <w:rPr>
                                <w:color w:val="auto"/>
                                <w:lang w:val="zh-CN"/>
                              </w:rPr>
                              <w:t>民政局、</w:t>
                            </w:r>
                            <w:r>
                              <w:rPr>
                                <w:rFonts w:hint="eastAsia"/>
                                <w:color w:val="auto"/>
                                <w:lang w:val="zh-CN"/>
                              </w:rPr>
                              <w:t>区</w:t>
                            </w:r>
                            <w:r>
                              <w:rPr>
                                <w:color w:val="auto"/>
                                <w:lang w:val="zh-CN"/>
                              </w:rPr>
                              <w:t>财政局</w:t>
                            </w:r>
                            <w:r>
                              <w:rPr>
                                <w:rFonts w:hint="eastAsia"/>
                                <w:color w:val="auto"/>
                                <w:lang w:val="zh-CN"/>
                              </w:rPr>
                              <w:t>、所在地人民政府</w:t>
                            </w:r>
                            <w:r>
                              <w:rPr>
                                <w:lang w:val="zh-CN"/>
                              </w:rPr>
                              <w:t>等部门组成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9pt;margin-top:233.05pt;height:119.25pt;width:92.15pt;z-index:251677696;mso-width-relative:page;mso-height-relative:page;" fillcolor="#FFFFFF" filled="t" stroked="t" coordsize="21600,21600" o:gfxdata="UEsDBAoAAAAAAIdO4kAAAAAAAAAAAAAAAAAEAAAAZHJzL1BLAwQUAAAACACHTuJAPfuo1dYAAAAL&#10;AQAADwAAAGRycy9kb3ducmV2LnhtbE2PwU7DMAyG70i8Q2QkbiwpKt3omu6ARM9sA3FNG6+taJyq&#10;ybru7fFOcPst//r8udgtbhAzTqH3pCFZKRBIjbc9tRo+j+9PGxAhGrJm8IQarhhgV97fFSa3/kJ7&#10;nA+xFQyhkBsNXYxjLmVoOnQmrPyIxLuTn5yJPE6ttJO5MNwN8lmpTDrTE1/ozIhvHTY/h7PT8BK+&#10;P9L5Wvddu/mqZLW4fXqstH58SNQWRMQl/pXhps/qULJT7c9kgxiY8ZqwetSQZlkCghvr9S3UHFSa&#10;gSwL+f+H8hdQSwMEFAAAAAgAh07iQMxITZlgAgAAyQQAAA4AAABkcnMvZTJvRG9jLnhtbK1UwW4T&#10;MRC9I/EPlu9kN2lCaZRNFVoFIVW0UkGcHa83a2F7jO1kN3wA/AEnLtz5rn4HY+8mTVsOPZDDZsYz&#10;+2bm+c3OzlutyFY4L8EUdDjIKRGGQynNuqCfPi5fvaHEB2ZKpsCIgu6Ep+fzly9mjZ2KEdSgSuEI&#10;ghg/bWxB6xDsNMs8r4VmfgBWGAxW4DQL6Lp1VjrWILpW2SjPX2cNuNI64MJ7PL3sgrRHdM8BhKqS&#10;XFwC32hhQofqhGIBR/K1tJ7OU7dVJXi4riovAlEFxUlDemIRtFfxmc1nbLp2zNaS9y2w57TwaCbN&#10;pMGiB6hLFhjZOPkESkvuwEMVBhx01g2SGMEphvkjbm5rZkWaBan29kC6/3+w/MP2xhFZFvQEKTFM&#10;443f/fxx9+vP3e/vBM+QoMb6KebdWswM7VtoUTb7c4+Hce62cjr+40QE44i1O9Ar2kB4fGl4mp/k&#10;E0o4xoaT4Xh8Ook42f3r1vnwToAm0Siow/tLtLLtlQ9d6j4lVvOgZLmUSiXHrVcXypEtw7tepl+P&#10;/iBNGdJg+bN8kifoB8EIfsBYKca/PIXAdpWJBUXSV99YJKkjI1qhXbU9cysod0icg0573vKlxCpX&#10;zIcb5lBsyBWuY7jGR6UAe4PeoqQG9+1f5zEfNYBRShoUb0H91w1zghL13qA6zpBbhA3JGU9OR+i4&#10;48jqOGI2+gKQsyEuvuXJjPlB7c3Kgf6MW7uIVTHEDMfaBQ178yJ0K4Vbz8VikZJQ35aFK3NreYSO&#10;hBlYbAJUMt1kpKnjBhUQHVR40kK/jXGFjv2Udf8Fmv8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Pfuo1dYAAAALAQAADwAAAAAAAAABACAAAAAiAAAAZHJzL2Rvd25yZXYueG1sUEsBAhQAFAAAAAgA&#10;h07iQMxITZlgAgAAyQQAAA4AAAAAAAAAAQAgAAAAJQEAAGRycy9lMm9Eb2MueG1sUEsFBgAAAAAG&#10;AAYAWQEAAPcFAAAAAA==&#10;">
                <v:fill on="t" focussize="0,0"/>
                <v:stroke weight="1.5pt" color="#000000" joinstyle="round"/>
                <v:imagedata o:title=""/>
                <o:lock v:ext="edit" aspectratio="f"/>
                <v:textbox>
                  <w:txbxContent>
                    <w:p>
                      <w:pPr>
                        <w:jc w:val="center"/>
                      </w:pPr>
                      <w:r>
                        <w:rPr>
                          <w:lang w:val="zh-CN"/>
                        </w:rPr>
                        <w:t>由区政府</w:t>
                      </w:r>
                      <w:r>
                        <w:rPr>
                          <w:rFonts w:hint="eastAsia"/>
                          <w:color w:val="auto"/>
                          <w:lang w:val="zh-CN"/>
                        </w:rPr>
                        <w:t>区水利局、区生态环境局、区</w:t>
                      </w:r>
                      <w:r>
                        <w:rPr>
                          <w:color w:val="auto"/>
                          <w:lang w:val="zh-CN"/>
                        </w:rPr>
                        <w:t>民政局、</w:t>
                      </w:r>
                      <w:r>
                        <w:rPr>
                          <w:rFonts w:hint="eastAsia"/>
                          <w:color w:val="auto"/>
                          <w:lang w:val="zh-CN"/>
                        </w:rPr>
                        <w:t>区</w:t>
                      </w:r>
                      <w:r>
                        <w:rPr>
                          <w:color w:val="auto"/>
                          <w:lang w:val="zh-CN"/>
                        </w:rPr>
                        <w:t>财政局</w:t>
                      </w:r>
                      <w:r>
                        <w:rPr>
                          <w:rFonts w:hint="eastAsia"/>
                          <w:color w:val="auto"/>
                          <w:lang w:val="zh-CN"/>
                        </w:rPr>
                        <w:t>、所在地人民政府</w:t>
                      </w:r>
                      <w:r>
                        <w:rPr>
                          <w:lang w:val="zh-CN"/>
                        </w:rPr>
                        <w:t>等部门组成</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column">
                  <wp:posOffset>4343400</wp:posOffset>
                </wp:positionH>
                <wp:positionV relativeFrom="paragraph">
                  <wp:posOffset>1601470</wp:posOffset>
                </wp:positionV>
                <wp:extent cx="3810" cy="243840"/>
                <wp:effectExtent l="52705" t="0" r="65405" b="0"/>
                <wp:wrapNone/>
                <wp:docPr id="49" name="直接箭头连接符 49"/>
                <wp:cNvGraphicFramePr/>
                <a:graphic xmlns:a="http://schemas.openxmlformats.org/drawingml/2006/main">
                  <a:graphicData uri="http://schemas.microsoft.com/office/word/2010/wordprocessingShape">
                    <wps:wsp>
                      <wps:cNvCnPr/>
                      <wps:spPr>
                        <a:xfrm flipV="1">
                          <a:off x="0" y="0"/>
                          <a:ext cx="3810" cy="243840"/>
                        </a:xfrm>
                        <a:prstGeom prst="straightConnector1">
                          <a:avLst/>
                        </a:prstGeom>
                        <a:noFill/>
                        <a:ln w="19050" cap="flat" cmpd="sng" algn="ctr">
                          <a:solidFill>
                            <a:srgbClr val="000000"/>
                          </a:solidFill>
                          <a:prstDash val="solid"/>
                          <a:headEnd type="arrow"/>
                          <a:tailEnd type="none"/>
                        </a:ln>
                        <a:effectLst/>
                      </wps:spPr>
                      <wps:bodyPr/>
                    </wps:wsp>
                  </a:graphicData>
                </a:graphic>
              </wp:anchor>
            </w:drawing>
          </mc:Choice>
          <mc:Fallback>
            <w:pict>
              <v:shape id="_x0000_s1026" o:spid="_x0000_s1026" o:spt="32" type="#_x0000_t32" style="position:absolute;left:0pt;flip:y;margin-left:342pt;margin-top:126.1pt;height:19.2pt;width:0.3pt;z-index:-251657216;mso-width-relative:page;mso-height-relative:page;" filled="f" stroked="t" coordsize="21600,21600" o:gfxdata="UEsDBAoAAAAAAIdO4kAAAAAAAAAAAAAAAAAEAAAAZHJzL1BLAwQUAAAACACHTuJAQlJGAdYAAAAL&#10;AQAADwAAAGRycy9kb3ducmV2LnhtbE2PwU7DMBBE70j8g7VI3KidlEYhxOmhAu6UCq6uvSRR43WI&#10;3Sb8PcsJjjs7mnlTbxc/iAtOsQ+kIVspEEg2uJ5aDYe357sSREyGnBkCoYZvjLBtrq9qU7kw0yte&#10;9qkVHEKxMhq6lMZKymg79CauwojEv88weZP4nFrpJjNzuB9krlQhvemJGzoz4q5De9qfvQb7vslO&#10;u+UQl3X79WLnpw/Vl2utb28y9Qgi4ZL+zPCLz+jQMNMxnMlFMWgoynvekjTkmzwHwQ5WChBHVh5U&#10;AbKp5f8NzQ9QSwMEFAAAAAgAh07iQNyTQFoSAgAA/AMAAA4AAABkcnMvZTJvRG9jLnhtbK1TzY7T&#10;MBC+I/EOlu80bbeg3arpHlqWC4JK/NynjpNY8p/G3qZ9CV4AiRNwYjntnaeB5TEYO6Esy2UP5BCN&#10;M5lv5vvm8+J8bzTbSQzK2ZJPRmPOpBWuUrYp+ZvXF49OOQsRbAXaWVnygwz8fPnwwaLzczl1rdOV&#10;REYgNsw7X/I2Rj8viiBaaSCMnJeWkrVDA5GO2BQVQkfoRhfT8fhJ0TmsPDohQ6Cv6z7JB0S8D6Cr&#10;ayXk2olLI23sUVFqiEQptMoHvszT1rUU8WVdBxmZLjkxjflNTSjepnexXMC8QfCtEsMIcJ8R7nAy&#10;oCw1PUKtIQK7RPUPlFECXXB1HAlnip5IVoRYTMZ3tHnVgpeZC0kd/FH08P9gxYvdBpmqSj4748yC&#10;oY3fvL/+8e7Tzder7x+vf377kOIvnxnlSazOhznVrOwGh1PwG0zM9zUaVmvl35KrshbEju2z1Iej&#10;1HIfmaCPJ6cTWoGgxHR2cjrLiyh6kATmMcRn0hmWgpKHiKCaNq6ctbRSh30D2D0Pkcagwt8Fqdi6&#10;C6V13qy2rKNxzsaPUzcgu9ZkEwqNJ8rBNpyBbugeiIh55uC0qlJ5AgrYbFca2Q6Se/KTNKB2f/2W&#10;eq8htP1/OdX7qpVQPbUViwdPsgKi6/pEBKX/JCzdswFX29RXZuMO3JLivcYp2rrqkKUv0olMkccZ&#10;DJxcd/tM8e1Lu/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lJGAdYAAAALAQAADwAAAAAAAAAB&#10;ACAAAAAiAAAAZHJzL2Rvd25yZXYueG1sUEsBAhQAFAAAAAgAh07iQNyTQFoSAgAA/AMAAA4AAAAA&#10;AAAAAQAgAAAAJQEAAGRycy9lMm9Eb2MueG1sUEsFBgAAAAAGAAYAWQEAAKkFAAAAAA==&#10;">
                <v:fill on="f" focussize="0,0"/>
                <v:stroke weight="1.5pt" color="#000000" joinstyle="round" start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1248410</wp:posOffset>
                </wp:positionH>
                <wp:positionV relativeFrom="paragraph">
                  <wp:posOffset>821690</wp:posOffset>
                </wp:positionV>
                <wp:extent cx="1620520" cy="314325"/>
                <wp:effectExtent l="9525" t="0" r="15875" b="11430"/>
                <wp:wrapNone/>
                <wp:docPr id="8" name="文本框 8"/>
                <wp:cNvGraphicFramePr/>
                <a:graphic xmlns:a="http://schemas.openxmlformats.org/drawingml/2006/main">
                  <a:graphicData uri="http://schemas.microsoft.com/office/word/2010/wordprocessingShape">
                    <wps:wsp>
                      <wps:cNvSpPr txBox="1"/>
                      <wps:spPr>
                        <a:xfrm>
                          <a:off x="0" y="0"/>
                          <a:ext cx="1620520" cy="314325"/>
                        </a:xfrm>
                        <a:prstGeom prst="rect">
                          <a:avLst/>
                        </a:prstGeom>
                        <a:solidFill>
                          <a:srgbClr val="FFFFFF"/>
                        </a:solidFill>
                        <a:ln w="19050">
                          <a:solidFill>
                            <a:prstClr val="black"/>
                          </a:solidFill>
                        </a:ln>
                        <a:effectLst/>
                      </wps:spPr>
                      <wps:txbx>
                        <w:txbxContent>
                          <w:p>
                            <w:pPr>
                              <w:jc w:val="center"/>
                              <w:rPr>
                                <w:rFonts w:eastAsia="仿宋"/>
                                <w:b/>
                                <w:bCs/>
                                <w:kern w:val="0"/>
                                <w:sz w:val="24"/>
                                <w:szCs w:val="24"/>
                              </w:rPr>
                            </w:pPr>
                            <w:r>
                              <w:rPr>
                                <w:rFonts w:hint="eastAsia" w:eastAsia="仿宋"/>
                                <w:b/>
                                <w:bCs/>
                                <w:kern w:val="0"/>
                                <w:sz w:val="24"/>
                                <w:szCs w:val="24"/>
                              </w:rPr>
                              <w:t>区饮用水源地应急办</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3pt;margin-top:64.7pt;height:24.75pt;width:127.6pt;z-index:251665408;mso-width-relative:page;mso-height-relative:page;" fillcolor="#FFFFFF" filled="t" stroked="t" coordsize="21600,21600" o:gfxdata="UEsDBAoAAAAAAIdO4kAAAAAAAAAAAAAAAAAEAAAAZHJzL1BLAwQUAAAACACHTuJASN8PHNYAAAAL&#10;AQAADwAAAGRycy9kb3ducmV2LnhtbE2PT0+EMBDF7yZ+h2ZMvLmFDYuAlD2YyNn9Y7wWOgKRTgnt&#10;suy3dzzpbd7My5vfK/erHcWCsx8cKYg3EQik1pmBOgXn09tTBsIHTUaPjlDBDT3sq/u7UhfGXemA&#10;yzF0gkPIF1pBH8JUSOnbHq32Gzch8e3LzVYHlnMnzayvHG5HuY2iVFo9EH/o9YSvPbbfx4tVsPOf&#10;78lya4a+yz5qWa/2kJxqpR4f4ugFRMA1/JnhF5/RoWKmxl3IeDGyztOUrTxs8wQEO5JdzGUa3jxn&#10;OciqlP87VD9QSwMEFAAAAAgAh07iQMQYBcVeAgAAxgQAAA4AAABkcnMvZTJvRG9jLnhtbK1UsW7b&#10;MBDdC/QfCO6NZMdOEyNy4DpwUSBoArhFZ5qiLKIkjyVpS+kHNH/QqUv3fle+o0dKdpykQ4ZqoI68&#10;07u7x3c6v2i1IlvhvART0MFRTokwHEpp1gX9/Gnx5pQSH5gpmQIjCnorPL2Yvn513tiJGEINqhSO&#10;IIjxk8YWtA7BTrLM81po5o/ACoPOCpxmAbdunZWONYiuVTbM85OsAVdaB1x4j6eXnZP2iO4lgFBV&#10;kotL4BstTOhQnVAsYEu+ltbTaaq2qgQP11XlRSCqoNhpSCsmQXsV12x6ziZrx2wteV8Ce0kJT3rS&#10;TBpMuoe6ZIGRjZPPoLTkDjxU4YiDzrpGEiPYxSB/ws2yZlakXpBqb/ek+/8Hyz9ubxyRZUHx2g3T&#10;eOH3P+/uf/25//2DnEZ6GusnGLW0GBfad9CiaHbnHg9j123ldHxjPwT9SO7tnlzRBsLjRyfDfDxE&#10;F0ff8WB0PBxHmOzha+t8eC9Ak2gU1OHlJU7Z9sqHLnQXEpN5ULJcSKXSxq1Xc+XIluFFL9LToz8K&#10;U4Y0WMpZPs4T9CNnBN9jrBTjX59DYLnKxIQiiasvLHLUcRGt0K7anrgVlLfIm4NOeN7yhcQsV8yH&#10;G+ZQacgHzmK4xqVSgLVBb1FSg/v+r/MYjwJALyUNKreg/tuGOUGJ+mBQGmeD0QhhQ9qMxm8j5+7Q&#10;szr0mI2eA3I2wKm3PJkxPqidWTnQX3BkZzErupjhmLugYWfOQzdPOPJczGYpCMVtWbgyS8sjdCTM&#10;wGwToJLpJiNNHTeogLhBeSct9KMY5+dwn6Iefj/T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jf&#10;DxzWAAAACwEAAA8AAAAAAAAAAQAgAAAAIgAAAGRycy9kb3ducmV2LnhtbFBLAQIUABQAAAAIAIdO&#10;4kDEGAXFXgIAAMYEAAAOAAAAAAAAAAEAIAAAACUBAABkcnMvZTJvRG9jLnhtbFBLBQYAAAAABgAG&#10;AFkBAAD1BQAAAAA=&#10;">
                <v:fill on="t" focussize="0,0"/>
                <v:stroke weight="1.5pt" color="#000000" joinstyle="round"/>
                <v:imagedata o:title=""/>
                <o:lock v:ext="edit" aspectratio="f"/>
                <v:textbox>
                  <w:txbxContent>
                    <w:p>
                      <w:pPr>
                        <w:jc w:val="center"/>
                        <w:rPr>
                          <w:rFonts w:eastAsia="仿宋"/>
                          <w:b/>
                          <w:bCs/>
                          <w:kern w:val="0"/>
                          <w:sz w:val="24"/>
                          <w:szCs w:val="24"/>
                        </w:rPr>
                      </w:pPr>
                      <w:r>
                        <w:rPr>
                          <w:rFonts w:hint="eastAsia" w:eastAsia="仿宋"/>
                          <w:b/>
                          <w:bCs/>
                          <w:kern w:val="0"/>
                          <w:sz w:val="24"/>
                          <w:szCs w:val="24"/>
                        </w:rPr>
                        <w:t>区饮用水源地应急办</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2915920</wp:posOffset>
                </wp:positionH>
                <wp:positionV relativeFrom="paragraph">
                  <wp:posOffset>992505</wp:posOffset>
                </wp:positionV>
                <wp:extent cx="1409700" cy="0"/>
                <wp:effectExtent l="0" t="53975" r="7620" b="67945"/>
                <wp:wrapNone/>
                <wp:docPr id="9" name="直接箭头连接符 9"/>
                <wp:cNvGraphicFramePr/>
                <a:graphic xmlns:a="http://schemas.openxmlformats.org/drawingml/2006/main">
                  <a:graphicData uri="http://schemas.microsoft.com/office/word/2010/wordprocessingShape">
                    <wps:wsp>
                      <wps:cNvCnPr/>
                      <wps:spPr>
                        <a:xfrm>
                          <a:off x="0" y="0"/>
                          <a:ext cx="1409700" cy="0"/>
                        </a:xfrm>
                        <a:prstGeom prst="straightConnector1">
                          <a:avLst/>
                        </a:prstGeom>
                        <a:noFill/>
                        <a:ln w="190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229.6pt;margin-top:78.15pt;height:0pt;width:111pt;z-index:251666432;mso-width-relative:page;mso-height-relative:page;" filled="f" stroked="t" coordsize="21600,21600" o:gfxdata="UEsDBAoAAAAAAIdO4kAAAAAAAAAAAAAAAAAEAAAAZHJzL1BLAwQUAAAACACHTuJAoxfhrtgAAAAL&#10;AQAADwAAAGRycy9kb3ducmV2LnhtbE2PUUvDQBCE34X+h2MLvoi9pLGhibkUrKgvKrT6Ay65bRKa&#10;2wu5a1r/vSsI+rgzH7MzxeZiezHh6DtHCuJFBAKpdqajRsHnx9PtGoQPmozuHaGCL/SwKWdXhc6N&#10;O9MOp31oBIeQz7WCNoQhl9LXLVrtF25AYu/gRqsDn2MjzajPHG57uYyiVFrdEX9o9YDbFuvj/mQV&#10;7JLJvlevdZa8JTc22z6+PDwbUup6Hkf3IAJewh8MP/W5OpTcqXInMl70Cu5W2ZJRNlZpAoKJdB2z&#10;Uv0qsizk/w3lN1BLAwQUAAAACACHTuJAkgiBWvsBAADWAwAADgAAAGRycy9lMm9Eb2MueG1srVPN&#10;jtMwEL4j8Q6W7zTpir9WTffQslwQVIJ9ANdxEkv+04y3aV+CF0DiBJyA0955GnZ5DMZOtizLZQ/k&#10;4MzEnu/z981kcbq3hu0UoPau4tNJyZly0tfatRU/f3f26DlnGIWrhfFOVfygkJ8uHz5Y9GGuTnzn&#10;Ta2AEYjDeR8q3sUY5kWBslNW4MQH5Wiz8WBFpBTaogbRE7o1xUlZPi16D3UALxUifV0Pm3xEhPsA&#10;+qbRUq29vLDKxQEVlBGRJGGnA/Jlvm3TKBnfNA2qyEzFSWnMK5FQvE1rsVyIeQsidFqOVxD3ucId&#10;TVZoR6RHqLWIgl2A/gfKagkefRMn0ttiEJIdIRXT8o43bzsRVNZCVmM4mo7/D1a+3m2A6briM86c&#10;sNTw6w+XV+8/X3//9vPT5a8fH1P89QubJav6gHOqWLkNjBmGDSTd+wZsepMits/2Ho72qn1kkj5O&#10;H5ezZyU5L2/2ij+FATC+VN6yFFQcIwjddnHlnaMmephme8XuFUaipsKbgsTq/Jk2JvfSONYT1ax8&#10;kogEDWhDg0GhDSQSXcuZMC1NvoyQIdEbXafyBITQblcG2E6keclP0k10fx1L3GuB3XAubw2TFIU2&#10;L1zN4iGQkwLA92O9cQlf5ZEcNSQ3B/9StPX1IdtapIzanWnH0UzzdDun+PbvuP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xfhrtgAAAALAQAADwAAAAAAAAABACAAAAAiAAAAZHJzL2Rvd25yZXYu&#10;eG1sUEsBAhQAFAAAAAgAh07iQJIIgVr7AQAA1gMAAA4AAAAAAAAAAQAgAAAAJwEAAGRycy9lMm9E&#10;b2MueG1sUEsFBgAAAAAGAAYAWQEAAJQFAAAAAA==&#10;">
                <v:fill on="f" focussize="0,0"/>
                <v:stroke weight="1.5pt" color="#000000" joinstyle="round" endarrow="open"/>
                <v:imagedata o:title=""/>
                <o:lock v:ext="edit" aspectratio="f"/>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3335020</wp:posOffset>
                </wp:positionH>
                <wp:positionV relativeFrom="paragraph">
                  <wp:posOffset>1278890</wp:posOffset>
                </wp:positionV>
                <wp:extent cx="1972310" cy="314325"/>
                <wp:effectExtent l="9525" t="0" r="14605" b="11430"/>
                <wp:wrapNone/>
                <wp:docPr id="7" name="文本框 7"/>
                <wp:cNvGraphicFramePr/>
                <a:graphic xmlns:a="http://schemas.openxmlformats.org/drawingml/2006/main">
                  <a:graphicData uri="http://schemas.microsoft.com/office/word/2010/wordprocessingShape">
                    <wps:wsp>
                      <wps:cNvSpPr txBox="1"/>
                      <wps:spPr>
                        <a:xfrm>
                          <a:off x="0" y="0"/>
                          <a:ext cx="1972310" cy="314325"/>
                        </a:xfrm>
                        <a:prstGeom prst="rect">
                          <a:avLst/>
                        </a:prstGeom>
                        <a:solidFill>
                          <a:srgbClr val="FFFFFF"/>
                        </a:solidFill>
                        <a:ln w="19050">
                          <a:solidFill>
                            <a:prstClr val="black"/>
                          </a:solidFill>
                        </a:ln>
                        <a:effectLst/>
                      </wps:spPr>
                      <wps:txbx>
                        <w:txbxContent>
                          <w:p>
                            <w:pPr>
                              <w:jc w:val="center"/>
                              <w:rPr>
                                <w:b/>
                                <w:bCs/>
                                <w:sz w:val="24"/>
                                <w:szCs w:val="24"/>
                              </w:rPr>
                            </w:pPr>
                            <w:r>
                              <w:rPr>
                                <w:rFonts w:hint="eastAsia" w:eastAsia="仿宋"/>
                                <w:b/>
                                <w:bCs/>
                                <w:kern w:val="0"/>
                                <w:sz w:val="24"/>
                                <w:szCs w:val="24"/>
                              </w:rPr>
                              <w:t>现场应急指挥部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6pt;margin-top:100.7pt;height:24.75pt;width:155.3pt;z-index:251664384;mso-width-relative:page;mso-height-relative:page;" fillcolor="#FFFFFF" filled="t" stroked="t" coordsize="21600,21600" o:gfxdata="UEsDBAoAAAAAAIdO4kAAAAAAAAAAAAAAAAAEAAAAZHJzL1BLAwQUAAAACACHTuJATqMocdYAAAAL&#10;AQAADwAAAGRycy9kb3ducmV2LnhtbE2PTU+EMBCG7yb+h2ZMvLktCAZZyh5M5Ox+GK+FdimRTgnt&#10;suy/dzzpcWbePPO81W51I1vMHAaPEpKNAGaw83rAXsLp+P5UAAtRoVajRyPhZgLs6vu7SpXaX3Fv&#10;lkPsGUEwlEqCjXEqOQ+dNU6FjZ8M0u3sZ6cijXPP9ayuBHcjT4V44U4NSB+smsybNd334eIk5OHr&#10;I1tu7WD74rPhzer22bGR8vEhEVtg0azxLwy/+qQONTm1/oI6sJEYaZ5SVEIqkgwYJYrnnMq0tMnF&#10;K/C64v871D9QSwMEFAAAAAgAh07iQKKFU1peAgAAxgQAAA4AAABkcnMvZTJvRG9jLnhtbK1UzW4T&#10;MRC+I/EOlu9k81dCo2yqkCoIqaKVCuLseL1ZC9tjbCe74QHgDThx4c5z9TkYezdp2nLogRw2M57Z&#10;b2Y+f7Ozi0YrshPOSzA5HfT6lAjDoZBmk9NPH1ev3lDiAzMFU2BETvfC04v5yxez2k7FECpQhXAE&#10;QYyf1janVQh2mmWeV0Iz3wMrDAZLcJoFdN0mKxyrEV2rbNjvv85qcIV1wIX3eHrZBmmH6J4DCGUp&#10;ubgEvtXChBbVCcUCjuQraT2dp27LUvBwXZZeBKJyipOG9MQiaK/jM5vP2HTjmK0k71pgz2nh0Uya&#10;SYNFj1CXLDCydfIJlJbcgYcy9DjorB0kMYJTDPqPuLmtmBVpFqTa2yPp/v/B8g+7G0dkkdMJJYZp&#10;vPC7nz/ufv25+/2dTCI9tfVTzLq1mBeat9CgaA7nHg/j1E3pdPzHeQjGkdz9kVzRBMLjS+eT4WiA&#10;IY6x0WA8Gp5FmOz+bet8eCdAk2jk1OHlJU7Z7sqHNvWQEot5ULJYSaWS4zbrpXJkx/CiV+nXoT9I&#10;U4bUsZX+WT9BPwhG8CPGWjH+5SkEtqtMLCiSuLrGIkctF9EKzbrpiFtDsUfeHLTC85avJFa5Yj7c&#10;MIdKQz5wF8M1PkoF2Bt0FiUVuG//Oo/5KACMUlKjcnPqv26ZE5So9walcT4YjxE2JGd8Nhmi404j&#10;69OI2eolIGcD3HrLkxnzgzqYpQP9GVd2EatiiBmOtXMaDuYytPuEK8/FYpGSUNyWhStza3mEjoQZ&#10;WGwDlDLdZKSp5QYVEB2Ud9JCt4pxf079lHX/+Zn/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6j&#10;KHHWAAAACwEAAA8AAAAAAAAAAQAgAAAAIgAAAGRycy9kb3ducmV2LnhtbFBLAQIUABQAAAAIAIdO&#10;4kCihVNaXgIAAMYEAAAOAAAAAAAAAAEAIAAAACUBAABkcnMvZTJvRG9jLnhtbFBLBQYAAAAABgAG&#10;AFkBAAD1BQAAAAA=&#10;">
                <v:fill on="t" focussize="0,0"/>
                <v:stroke weight="1.5pt" color="#000000" joinstyle="round"/>
                <v:imagedata o:title=""/>
                <o:lock v:ext="edit" aspectratio="f"/>
                <v:textbox>
                  <w:txbxContent>
                    <w:p>
                      <w:pPr>
                        <w:jc w:val="center"/>
                        <w:rPr>
                          <w:b/>
                          <w:bCs/>
                          <w:sz w:val="24"/>
                          <w:szCs w:val="24"/>
                        </w:rPr>
                      </w:pPr>
                      <w:r>
                        <w:rPr>
                          <w:rFonts w:hint="eastAsia" w:eastAsia="仿宋"/>
                          <w:b/>
                          <w:bCs/>
                          <w:kern w:val="0"/>
                          <w:sz w:val="24"/>
                          <w:szCs w:val="24"/>
                        </w:rPr>
                        <w:t>现场应急指挥部</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3344545</wp:posOffset>
                </wp:positionH>
                <wp:positionV relativeFrom="paragraph">
                  <wp:posOffset>335915</wp:posOffset>
                </wp:positionV>
                <wp:extent cx="1972310" cy="314325"/>
                <wp:effectExtent l="9525" t="0" r="14605" b="11430"/>
                <wp:wrapNone/>
                <wp:docPr id="2" name="文本框 2"/>
                <wp:cNvGraphicFramePr/>
                <a:graphic xmlns:a="http://schemas.openxmlformats.org/drawingml/2006/main">
                  <a:graphicData uri="http://schemas.microsoft.com/office/word/2010/wordprocessingShape">
                    <wps:wsp>
                      <wps:cNvSpPr txBox="1"/>
                      <wps:spPr>
                        <a:xfrm>
                          <a:off x="4573270" y="1734185"/>
                          <a:ext cx="1972310" cy="314325"/>
                        </a:xfrm>
                        <a:prstGeom prst="rect">
                          <a:avLst/>
                        </a:prstGeom>
                        <a:solidFill>
                          <a:srgbClr val="FFFFFF"/>
                        </a:solidFill>
                        <a:ln w="19050">
                          <a:solidFill>
                            <a:prstClr val="black"/>
                          </a:solidFill>
                        </a:ln>
                        <a:effectLst/>
                      </wps:spPr>
                      <wps:txbx>
                        <w:txbxContent>
                          <w:p>
                            <w:pPr>
                              <w:jc w:val="center"/>
                              <w:rPr>
                                <w:b/>
                                <w:bCs/>
                                <w:sz w:val="24"/>
                                <w:szCs w:val="24"/>
                              </w:rPr>
                            </w:pPr>
                            <w:r>
                              <w:rPr>
                                <w:rFonts w:hint="eastAsia" w:eastAsia="仿宋"/>
                                <w:b/>
                                <w:bCs/>
                                <w:kern w:val="0"/>
                                <w:sz w:val="24"/>
                                <w:szCs w:val="24"/>
                              </w:rPr>
                              <w:t>区饮用水源地应急指挥部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3.35pt;margin-top:26.45pt;height:24.75pt;width:155.3pt;z-index:251662336;mso-width-relative:page;mso-height-relative:page;" fillcolor="#FFFFFF" filled="t" stroked="t" coordsize="21600,21600" o:gfxdata="UEsDBAoAAAAAAIdO4kAAAAAAAAAAAAAAAAAEAAAAZHJzL1BLAwQUAAAACACHTuJAY1fE7tcAAAAK&#10;AQAADwAAAGRycy9kb3ducmV2LnhtbE2Py07DMBBF90j8gzVI7KjdNLRpiNMFElnTB2LrxNM4Iraj&#10;2E3Tv2e6gt2M5ujOucVutj2bcAyddxKWCwEMXeN151oJp+PHSwYsROW06r1DCTcMsCsfHwqVa391&#10;e5wOsWUU4kKuJJgYh5zz0Bi0Kiz8gI5uZz9aFWkdW65HdaVw2/NEiDW3qnP0wagB3w02P4eLlfAa&#10;vj/T6VZ3ps2+Kl7Ndp8eKymfn5biDVjEOf7BcNcndSjJqfYXpwPrKSNZbwi9D1tgBGSrzQpYTaRI&#10;UuBlwf9XKH8BUEsDBBQAAAAIAIdO4kDKRlH0awIAANIEAAAOAAAAZHJzL2Uyb0RvYy54bWytVEtu&#10;2zAQ3RfoHQjuG1myUydG5MJN4KJA0ARIi65pirKIUiRL0pbSA7Q36Kqb7nuunKOPlJ1vF1nUC3nI&#10;eXoz82ZGJ2/6VpGtcF4aXdL8YESJ0NxUUq9L+unj8tURJT4wXTFltCjptfD0zfzli5POzkRhGqMq&#10;4QhItJ91tqRNCHaWZZ43omX+wFih4ayNa1nA0a2zyrEO7K3KitHoddYZV1lnuPAet2eDk+4Y3XMI&#10;TV1LLs4M37RCh4HVCcUCSvKNtJ7OU7Z1LXi4qGsvAlElRaUhPREE9io+s/kJm60ds43kuxTYc1J4&#10;VFPLpEbQW6ozFhjZOPmEqpXcGW/qcMBNmw2FJEVQRT56pM1Vw6xItUBqb29F9/+Pln/YXjoiq5IW&#10;lGjWouE3P3/c/Ppz8/s7KaI8nfUzoK4scKF/a3oMzf7e4zJW3deujf+oh8A/OZyOiykkvgZ2Op7k&#10;R4eD0KIPhEeC42kxzgHgQIzzybhIgOyOyTof3gnTkmiU1KGRSV+2PfcBWQG6h8TA3ihZLaVS6eDW&#10;q1PlyJah6cv0i+HxygOY0qSLqYwOR4n6gTOS33KsFONfnlKAUOkYUKRB2yUW9Rp0iVboV/1OxJWp&#10;rqGhM8MQesuXElHOmQ+XzGHqoAf2MlzgUSuD3MzOoqQx7tu/7iMewwAvJR2muKT+64Y5QYl6rzEm&#10;x/lkAtqQDmhLgYO771nd9+hNe2qgWY4vgOXJjPig9mbtTPsZ67uIUeFimiN2ScPePA3DbmH9uVgs&#10;EgiDblk411eWR+oomDaLTTC1TJ2MMg3aoEfxgFFP3dqtZdyl++eEuvsUz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Y1fE7tcAAAAKAQAADwAAAAAAAAABACAAAAAiAAAAZHJzL2Rvd25yZXYueG1s&#10;UEsBAhQAFAAAAAgAh07iQMpGUfRrAgAA0gQAAA4AAAAAAAAAAQAgAAAAJgEAAGRycy9lMm9Eb2Mu&#10;eG1sUEsFBgAAAAAGAAYAWQEAAAMGAAAAAA==&#10;">
                <v:fill on="t" focussize="0,0"/>
                <v:stroke weight="1.5pt" color="#000000" joinstyle="round"/>
                <v:imagedata o:title=""/>
                <o:lock v:ext="edit" aspectratio="f"/>
                <v:textbox>
                  <w:txbxContent>
                    <w:p>
                      <w:pPr>
                        <w:jc w:val="center"/>
                        <w:rPr>
                          <w:b/>
                          <w:bCs/>
                          <w:sz w:val="24"/>
                          <w:szCs w:val="24"/>
                        </w:rPr>
                      </w:pPr>
                      <w:r>
                        <w:rPr>
                          <w:rFonts w:hint="eastAsia" w:eastAsia="仿宋"/>
                          <w:b/>
                          <w:bCs/>
                          <w:kern w:val="0"/>
                          <w:sz w:val="24"/>
                          <w:szCs w:val="24"/>
                        </w:rPr>
                        <w:t>区饮用水源地应急指挥部</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4330700</wp:posOffset>
                </wp:positionH>
                <wp:positionV relativeFrom="paragraph">
                  <wp:posOffset>650240</wp:posOffset>
                </wp:positionV>
                <wp:extent cx="4445" cy="628015"/>
                <wp:effectExtent l="50165" t="0" r="67310" b="12065"/>
                <wp:wrapNone/>
                <wp:docPr id="6" name="直接箭头连接符 6"/>
                <wp:cNvGraphicFramePr/>
                <a:graphic xmlns:a="http://schemas.openxmlformats.org/drawingml/2006/main">
                  <a:graphicData uri="http://schemas.microsoft.com/office/word/2010/wordprocessingShape">
                    <wps:wsp>
                      <wps:cNvCnPr/>
                      <wps:spPr>
                        <a:xfrm>
                          <a:off x="5559425" y="2077085"/>
                          <a:ext cx="4445" cy="628015"/>
                        </a:xfrm>
                        <a:prstGeom prst="straightConnector1">
                          <a:avLst/>
                        </a:prstGeom>
                        <a:noFill/>
                        <a:ln w="19050" cap="flat" cmpd="sng" algn="ctr">
                          <a:solidFill>
                            <a:srgbClr val="000000"/>
                          </a:solidFill>
                          <a:prstDash val="solid"/>
                          <a:tailEnd type="arrow"/>
                        </a:ln>
                        <a:effectLst/>
                      </wps:spPr>
                      <wps:bodyPr/>
                    </wps:wsp>
                  </a:graphicData>
                </a:graphic>
              </wp:anchor>
            </w:drawing>
          </mc:Choice>
          <mc:Fallback>
            <w:pict>
              <v:shape id="_x0000_s1026" o:spid="_x0000_s1026" o:spt="32" type="#_x0000_t32" style="position:absolute;left:0pt;margin-left:341pt;margin-top:51.2pt;height:49.45pt;width:0.35pt;z-index:251663360;mso-width-relative:page;mso-height-relative:page;" filled="f" stroked="t" coordsize="21600,21600" o:gfxdata="UEsDBAoAAAAAAIdO4kAAAAAAAAAAAAAAAAAEAAAAZHJzL1BLAwQUAAAACACHTuJAwVSxGNoAAAAL&#10;AQAADwAAAGRycy9kb3ducmV2LnhtbE2PwU7DMBBE70j8g7VIvSBqJ0GlDXEq0apwAaQWPsCJlyQi&#10;Xkexm7Z/z3KC486MZt8U67PrxYRj6DxpSOYKBFLtbUeNhs+P3d0SRIiGrOk9oYYLBliX11eFya0/&#10;0R6nQ2wEl1DIjYY2xiGXMtQtOhPmfkBi78uPzkQ+x0ba0Zy43PUyVWohnemIP7RmwE2L9ffh6DTs&#10;s8m9V6/1KnvLbt1qs315erak9ewmUY8gIp7jXxh+8RkdSmaq/JFsEL2GxTLlLZENld6D4AQrDyAq&#10;DalKMpBlIf9vKH8AUEsDBBQAAAAIAIdO4kDiuCJpDgIAAOQDAAAOAAAAZHJzL2Uyb0RvYy54bWyt&#10;U82O0zAQviPxDpbvNGnVdLtR0z20LBcElYAHcB0nseQ/jb1N+xK8ABIn4ASc9s7TwPIYjJ2wLMtl&#10;D+SQzGQ838z3zXh1cdSKHAR4aU1Fp5OcEmG4raVpK/rm9eWTJSU+MFMzZY2o6El4erF+/GjVu1LM&#10;bGdVLYAgiPFl7yraheDKLPO8E5r5iXXCYLCxoFlAF9qsBtYjulbZLM8XWW+hdmC58B7/bocgHRHh&#10;IYC2aSQXW8uvtDBhQAWhWEBKvpPO03XqtmkEDy+bxotAVEWRaUhvLIL2Pr6z9YqVLTDXST62wB7S&#10;wj1OmkmDRW+htiwwcgXyHygtOVhvmzDhVmcDkaQIspjm97R51TEnEheU2rtb0f3/g+UvDjsgsq7o&#10;ghLDNA785t31j7cfb75++f7h+ue399H+/IksolS98yVmbMwORs+7HUTexwZ0/CIjcqxoURTn81lB&#10;yamis/zsLF8Wg9TiGAjHA/P5HKMcw4vZMp+maPYHxoEPz4TVJBoV9QGYbLuwscbgSC1Mk9js8NwH&#10;bAQTfyfEHoy9lEqlySpDelzy87zAgXOG69rgmqCpHVL2pqWEqRbvAQ+QIL1Vso7pEchDu98oIAcW&#10;tyc9kQWW++tYrL1lvhvOpdBANjCpnpqahJNDXRmA7cd8ZSK+SAs6cojaDmpGa2/rUxI5ix4OP5Ud&#10;FzVu110f7buXc/0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VSxGNoAAAALAQAADwAAAAAAAAAB&#10;ACAAAAAiAAAAZHJzL2Rvd25yZXYueG1sUEsBAhQAFAAAAAgAh07iQOK4ImkOAgAA5AMAAA4AAAAA&#10;AAAAAQAgAAAAKQEAAGRycy9lMm9Eb2MueG1sUEsFBgAAAAAGAAYAWQEAAKkFAAAAAA==&#10;">
                <v:fill on="f" focussize="0,0"/>
                <v:stroke weight="1.5pt" color="#000000" joinstyle="round" endarrow="open"/>
                <v:imagedata o:title=""/>
                <o:lock v:ext="edit" aspectratio="f"/>
              </v:shape>
            </w:pict>
          </mc:Fallback>
        </mc:AlternateContent>
      </w:r>
      <w:r>
        <w:rPr>
          <w:rFonts w:hint="eastAsia"/>
          <w:color w:val="000000" w:themeColor="text1"/>
          <w14:textFill>
            <w14:solidFill>
              <w14:schemeClr w14:val="tx1"/>
            </w14:solidFill>
          </w14:textFill>
        </w:rPr>
        <w:t xml:space="preserve">                                                                                     </w:t>
      </w:r>
    </w:p>
    <w:p>
      <w:pPr>
        <w:pStyle w:val="110"/>
        <w:spacing w:before="156" w:after="156"/>
        <w:rPr>
          <w:rFonts w:ascii="黑体" w:hAnsi="黑体" w:cs="黑体"/>
          <w:color w:val="000000" w:themeColor="text1"/>
          <w:sz w:val="24"/>
          <w:szCs w:val="24"/>
          <w14:textFill>
            <w14:solidFill>
              <w14:schemeClr w14:val="tx1"/>
            </w14:solidFill>
          </w14:textFill>
        </w:rPr>
      </w:pPr>
      <w:bookmarkStart w:id="805" w:name="_Toc27450"/>
      <w:bookmarkStart w:id="806" w:name="_Toc28923"/>
      <w:bookmarkStart w:id="807" w:name="_Toc527026597"/>
      <w:bookmarkStart w:id="808" w:name="_Toc529453140"/>
      <w:bookmarkStart w:id="809" w:name="_Toc529453294"/>
      <w:bookmarkStart w:id="810" w:name="_Toc528234275"/>
      <w:bookmarkStart w:id="811" w:name="_Toc5439"/>
      <w:bookmarkStart w:id="812" w:name="_Toc27102"/>
      <w:bookmarkStart w:id="813" w:name="_Toc523219622"/>
      <w:bookmarkStart w:id="814" w:name="_Toc522893264"/>
      <w:bookmarkStart w:id="815" w:name="_Toc523219333"/>
      <w:bookmarkStart w:id="816" w:name="_Toc523220137"/>
      <w:bookmarkStart w:id="817" w:name="_Toc946"/>
      <w:bookmarkStart w:id="818" w:name="_Toc523153568"/>
      <w:bookmarkStart w:id="819" w:name="_Toc523223381"/>
      <w:bookmarkStart w:id="820" w:name="_Toc523223921"/>
      <w:bookmarkStart w:id="821" w:name="_Toc7295"/>
      <w:bookmarkStart w:id="822" w:name="_Toc386526308"/>
      <w:bookmarkStart w:id="823" w:name="_Toc21524"/>
      <w:r>
        <w:rPr>
          <w:rFonts w:hint="eastAsia" w:cs="黑体"/>
          <w:color w:val="000000" w:themeColor="text1"/>
          <w:sz w:val="24"/>
          <w:szCs w:val="24"/>
          <w14:textFill>
            <w14:solidFill>
              <w14:schemeClr w14:val="tx1"/>
            </w14:solidFill>
          </w14:textFill>
        </w:rPr>
        <w:t>附件</w:t>
      </w:r>
      <w:bookmarkEnd w:id="805"/>
      <w:r>
        <w:rPr>
          <w:rFonts w:hint="eastAsia" w:cs="黑体"/>
          <w:color w:val="000000" w:themeColor="text1"/>
          <w:sz w:val="24"/>
          <w:szCs w:val="24"/>
          <w:lang w:val="en-US" w:eastAsia="zh-CN"/>
          <w14:textFill>
            <w14:solidFill>
              <w14:schemeClr w14:val="tx1"/>
            </w14:solidFill>
          </w14:textFill>
        </w:rPr>
        <w:t>2</w:t>
      </w:r>
      <w:r>
        <w:rPr>
          <w:rFonts w:hint="eastAsia"/>
          <w:color w:val="000000" w:themeColor="text1"/>
          <w:sz w:val="24"/>
          <w:szCs w:val="24"/>
          <w14:textFill>
            <w14:solidFill>
              <w14:schemeClr w14:val="tx1"/>
            </w14:solidFill>
          </w14:textFill>
        </w:rPr>
        <w:t>：</w:t>
      </w:r>
      <w:r>
        <w:rPr>
          <w:rFonts w:hint="eastAsia" w:ascii="黑体" w:hAnsi="黑体" w:cs="黑体"/>
          <w:color w:val="000000" w:themeColor="text1"/>
          <w:sz w:val="24"/>
          <w:szCs w:val="24"/>
          <w14:textFill>
            <w14:solidFill>
              <w14:schemeClr w14:val="tx1"/>
            </w14:solidFill>
          </w14:textFill>
        </w:rPr>
        <w:t>不同类型突发环境事件现场应急指挥部及应急工作组组成</w:t>
      </w:r>
      <w:bookmarkEnd w:id="806"/>
    </w:p>
    <w:p>
      <w:pPr>
        <w:pStyle w:val="77"/>
        <w:ind w:firstLine="480"/>
        <w:rPr>
          <w:color w:val="000000" w:themeColor="text1"/>
          <w14:textFill>
            <w14:solidFill>
              <w14:schemeClr w14:val="tx1"/>
            </w14:solidFill>
          </w14:textFill>
        </w:rPr>
      </w:pPr>
      <w:r>
        <w:rPr>
          <w:color w:val="000000" w:themeColor="text1"/>
          <w14:textFill>
            <w14:solidFill>
              <w14:schemeClr w14:val="tx1"/>
            </w14:solidFill>
          </w14:textFill>
        </w:rPr>
        <w:t>一、固定源突发环境事件</w:t>
      </w:r>
    </w:p>
    <w:p>
      <w:pPr>
        <w:spacing w:line="360" w:lineRule="auto"/>
        <w:ind w:firstLine="480"/>
        <w:rPr>
          <w:color w:val="000000" w:themeColor="text1"/>
          <w:sz w:val="24"/>
          <w:szCs w:val="24"/>
          <w:lang w:val="en-GB"/>
          <w14:textFill>
            <w14:solidFill>
              <w14:schemeClr w14:val="tx1"/>
            </w14:solidFill>
          </w14:textFill>
        </w:rPr>
      </w:pPr>
      <w:r>
        <w:rPr>
          <w:color w:val="000000" w:themeColor="text1"/>
          <w:sz w:val="24"/>
          <w:szCs w:val="24"/>
          <w:lang w:val="en-GB"/>
          <w14:textFill>
            <w14:solidFill>
              <w14:schemeClr w14:val="tx1"/>
            </w14:solidFill>
          </w14:textFill>
        </w:rPr>
        <w:t>现场应急指挥部及应急工作组（包括但</w:t>
      </w:r>
      <w:r>
        <w:rPr>
          <w:rFonts w:hint="eastAsia"/>
          <w:color w:val="000000" w:themeColor="text1"/>
          <w:sz w:val="24"/>
          <w:szCs w:val="24"/>
          <w:lang w:val="en-GB"/>
          <w14:textFill>
            <w14:solidFill>
              <w14:schemeClr w14:val="tx1"/>
            </w14:solidFill>
          </w14:textFill>
        </w:rPr>
        <w:t>不限于</w:t>
      </w:r>
      <w:r>
        <w:rPr>
          <w:color w:val="000000" w:themeColor="text1"/>
          <w:sz w:val="24"/>
          <w:szCs w:val="24"/>
          <w:lang w:val="en-GB"/>
          <w14:textFill>
            <w14:solidFill>
              <w14:schemeClr w14:val="tx1"/>
            </w14:solidFill>
          </w14:textFill>
        </w:rPr>
        <w:t>）构成：总指挥、副总指挥、区饮用水源地应急办、</w:t>
      </w:r>
      <w:r>
        <w:rPr>
          <w:rFonts w:hint="eastAsia"/>
          <w:color w:val="000000" w:themeColor="text1"/>
          <w:sz w:val="24"/>
          <w:szCs w:val="24"/>
          <w:lang w:val="en-GB" w:eastAsia="zh-CN"/>
          <w14:textFill>
            <w14:solidFill>
              <w14:schemeClr w14:val="tx1"/>
            </w14:solidFill>
          </w14:textFill>
        </w:rPr>
        <w:t>区生态环境局、区应急管理局、区水利局、区公安局、区交通运输局、区自然资源局、区消防大队、区委宣传部、区卫生健康局、水源地所在地乡镇政府、水源地管理单位、应急专家组</w:t>
      </w:r>
      <w:r>
        <w:rPr>
          <w:color w:val="000000" w:themeColor="text1"/>
          <w:sz w:val="24"/>
          <w:szCs w:val="24"/>
          <w:lang w:val="en-GB"/>
          <w14:textFill>
            <w14:solidFill>
              <w14:schemeClr w14:val="tx1"/>
            </w14:solidFill>
          </w14:textFill>
        </w:rPr>
        <w:t>等。</w:t>
      </w:r>
    </w:p>
    <w:p>
      <w:pPr>
        <w:spacing w:line="360" w:lineRule="auto"/>
        <w:ind w:firstLine="480"/>
        <w:rPr>
          <w:color w:val="000000" w:themeColor="text1"/>
          <w:sz w:val="24"/>
          <w:szCs w:val="24"/>
          <w:lang w:val="en-GB"/>
          <w14:textFill>
            <w14:solidFill>
              <w14:schemeClr w14:val="tx1"/>
            </w14:solidFill>
          </w14:textFill>
        </w:rPr>
      </w:pPr>
      <w:r>
        <w:rPr>
          <w:color w:val="000000" w:themeColor="text1"/>
          <w:sz w:val="24"/>
          <w:szCs w:val="24"/>
          <w:lang w:val="en-GB"/>
          <w14:textFill>
            <w14:solidFill>
              <w14:schemeClr w14:val="tx1"/>
            </w14:solidFill>
          </w14:textFill>
        </w:rPr>
        <w:t>二、流动源突发环境事件</w:t>
      </w:r>
    </w:p>
    <w:p>
      <w:pPr>
        <w:spacing w:line="360" w:lineRule="auto"/>
        <w:ind w:firstLine="480"/>
        <w:rPr>
          <w:color w:val="000000" w:themeColor="text1"/>
          <w:sz w:val="24"/>
          <w:szCs w:val="24"/>
          <w:lang w:val="en-GB"/>
          <w14:textFill>
            <w14:solidFill>
              <w14:schemeClr w14:val="tx1"/>
            </w14:solidFill>
          </w14:textFill>
        </w:rPr>
      </w:pPr>
      <w:r>
        <w:rPr>
          <w:color w:val="000000" w:themeColor="text1"/>
          <w:sz w:val="24"/>
          <w:szCs w:val="24"/>
          <w:lang w:val="en-GB"/>
          <w14:textFill>
            <w14:solidFill>
              <w14:schemeClr w14:val="tx1"/>
            </w14:solidFill>
          </w14:textFill>
        </w:rPr>
        <w:t>现场应急指挥部及应急工作组（包括但</w:t>
      </w:r>
      <w:r>
        <w:rPr>
          <w:rFonts w:hint="eastAsia"/>
          <w:color w:val="000000" w:themeColor="text1"/>
          <w:sz w:val="24"/>
          <w:szCs w:val="24"/>
          <w:lang w:val="en-GB"/>
          <w14:textFill>
            <w14:solidFill>
              <w14:schemeClr w14:val="tx1"/>
            </w14:solidFill>
          </w14:textFill>
        </w:rPr>
        <w:t>不限于</w:t>
      </w:r>
      <w:r>
        <w:rPr>
          <w:color w:val="000000" w:themeColor="text1"/>
          <w:sz w:val="24"/>
          <w:szCs w:val="24"/>
          <w:lang w:val="en-GB"/>
          <w14:textFill>
            <w14:solidFill>
              <w14:schemeClr w14:val="tx1"/>
            </w14:solidFill>
          </w14:textFill>
        </w:rPr>
        <w:t>）构成：总指挥、副总指挥、区饮用水源地应急办、</w:t>
      </w:r>
      <w:r>
        <w:rPr>
          <w:rFonts w:hint="eastAsia"/>
          <w:color w:val="000000" w:themeColor="text1"/>
          <w:sz w:val="24"/>
          <w:szCs w:val="24"/>
          <w:lang w:val="en-GB" w:eastAsia="zh-CN"/>
          <w14:textFill>
            <w14:solidFill>
              <w14:schemeClr w14:val="tx1"/>
            </w14:solidFill>
          </w14:textFill>
        </w:rPr>
        <w:t>区生态环境局、区应急管理局、区水利局、区公安局、区交通运输局、区自然资源局、区消防大队、区委宣传部、区卫生健康局、水源地所在地乡镇政府、水源地管理单位、应急专家组</w:t>
      </w:r>
      <w:r>
        <w:rPr>
          <w:color w:val="000000" w:themeColor="text1"/>
          <w:sz w:val="24"/>
          <w:szCs w:val="24"/>
          <w:lang w:val="en-GB"/>
          <w14:textFill>
            <w14:solidFill>
              <w14:schemeClr w14:val="tx1"/>
            </w14:solidFill>
          </w14:textFill>
        </w:rPr>
        <w:t>等。</w:t>
      </w:r>
    </w:p>
    <w:p>
      <w:pPr>
        <w:spacing w:line="360" w:lineRule="auto"/>
        <w:ind w:firstLine="480"/>
        <w:rPr>
          <w:color w:val="000000" w:themeColor="text1"/>
          <w:sz w:val="24"/>
          <w:szCs w:val="24"/>
          <w:lang w:val="en-GB"/>
          <w14:textFill>
            <w14:solidFill>
              <w14:schemeClr w14:val="tx1"/>
            </w14:solidFill>
          </w14:textFill>
        </w:rPr>
      </w:pPr>
      <w:r>
        <w:rPr>
          <w:color w:val="000000" w:themeColor="text1"/>
          <w:sz w:val="24"/>
          <w:szCs w:val="24"/>
          <w:lang w:val="en-GB"/>
          <w14:textFill>
            <w14:solidFill>
              <w14:schemeClr w14:val="tx1"/>
            </w14:solidFill>
          </w14:textFill>
        </w:rPr>
        <w:t>三、非点源突发环境事件</w:t>
      </w:r>
    </w:p>
    <w:p>
      <w:pPr>
        <w:spacing w:line="360" w:lineRule="auto"/>
        <w:ind w:firstLine="480"/>
        <w:rPr>
          <w:color w:val="000000" w:themeColor="text1"/>
          <w:sz w:val="24"/>
          <w:szCs w:val="24"/>
          <w:lang w:val="en-GB"/>
          <w14:textFill>
            <w14:solidFill>
              <w14:schemeClr w14:val="tx1"/>
            </w14:solidFill>
          </w14:textFill>
        </w:rPr>
      </w:pPr>
      <w:r>
        <w:rPr>
          <w:color w:val="000000" w:themeColor="text1"/>
          <w:sz w:val="24"/>
          <w:szCs w:val="24"/>
          <w:lang w:val="en-GB"/>
          <w14:textFill>
            <w14:solidFill>
              <w14:schemeClr w14:val="tx1"/>
            </w14:solidFill>
          </w14:textFill>
        </w:rPr>
        <w:t>现场应急指挥部及应急工作组（包括但</w:t>
      </w:r>
      <w:r>
        <w:rPr>
          <w:rFonts w:hint="eastAsia"/>
          <w:color w:val="000000" w:themeColor="text1"/>
          <w:sz w:val="24"/>
          <w:szCs w:val="24"/>
          <w:lang w:val="en-GB"/>
          <w14:textFill>
            <w14:solidFill>
              <w14:schemeClr w14:val="tx1"/>
            </w14:solidFill>
          </w14:textFill>
        </w:rPr>
        <w:t>不限于</w:t>
      </w:r>
      <w:r>
        <w:rPr>
          <w:color w:val="000000" w:themeColor="text1"/>
          <w:sz w:val="24"/>
          <w:szCs w:val="24"/>
          <w:lang w:val="en-GB"/>
          <w14:textFill>
            <w14:solidFill>
              <w14:schemeClr w14:val="tx1"/>
            </w14:solidFill>
          </w14:textFill>
        </w:rPr>
        <w:t>）构成：总指挥、副总指挥、区饮用水源地应急办、</w:t>
      </w:r>
      <w:r>
        <w:rPr>
          <w:rFonts w:hint="eastAsia"/>
          <w:color w:val="000000" w:themeColor="text1"/>
          <w:sz w:val="24"/>
          <w:szCs w:val="24"/>
          <w:lang w:val="en-GB" w:eastAsia="zh-CN"/>
          <w14:textFill>
            <w14:solidFill>
              <w14:schemeClr w14:val="tx1"/>
            </w14:solidFill>
          </w14:textFill>
        </w:rPr>
        <w:t>区生态环境局、区应急管理局、区水利局、区公安局、区交通运输局、区自然资源局、区消防大队、区委宣传部、区卫生健康局、水源地所在地乡镇政府、水源地管理单位、应急专家组</w:t>
      </w:r>
      <w:r>
        <w:rPr>
          <w:color w:val="000000" w:themeColor="text1"/>
          <w:sz w:val="24"/>
          <w:szCs w:val="24"/>
          <w:lang w:val="en-GB"/>
          <w14:textFill>
            <w14:solidFill>
              <w14:schemeClr w14:val="tx1"/>
            </w14:solidFill>
          </w14:textFill>
        </w:rPr>
        <w:t>等</w:t>
      </w:r>
    </w:p>
    <w:p>
      <w:pPr>
        <w:spacing w:line="360" w:lineRule="auto"/>
        <w:ind w:firstLine="480"/>
        <w:rPr>
          <w:color w:val="000000" w:themeColor="text1"/>
          <w:sz w:val="24"/>
          <w:szCs w:val="24"/>
          <w:lang w:val="en-GB"/>
          <w14:textFill>
            <w14:solidFill>
              <w14:schemeClr w14:val="tx1"/>
            </w14:solidFill>
          </w14:textFill>
        </w:rPr>
      </w:pPr>
      <w:r>
        <w:rPr>
          <w:color w:val="000000" w:themeColor="text1"/>
          <w:sz w:val="24"/>
          <w:szCs w:val="24"/>
          <w:lang w:val="en-GB"/>
          <w14:textFill>
            <w14:solidFill>
              <w14:schemeClr w14:val="tx1"/>
            </w14:solidFill>
          </w14:textFill>
        </w:rPr>
        <w:t>四、水华灾害事件</w:t>
      </w:r>
    </w:p>
    <w:p>
      <w:pPr>
        <w:spacing w:line="360" w:lineRule="auto"/>
        <w:ind w:firstLine="480"/>
        <w:rPr>
          <w:color w:val="000000" w:themeColor="text1"/>
          <w:sz w:val="24"/>
          <w:szCs w:val="24"/>
          <w:lang w:val="en-GB"/>
          <w14:textFill>
            <w14:solidFill>
              <w14:schemeClr w14:val="tx1"/>
            </w14:solidFill>
          </w14:textFill>
        </w:rPr>
      </w:pPr>
      <w:r>
        <w:rPr>
          <w:color w:val="000000" w:themeColor="text1"/>
          <w:sz w:val="24"/>
          <w:szCs w:val="24"/>
          <w:lang w:val="en-GB"/>
          <w14:textFill>
            <w14:solidFill>
              <w14:schemeClr w14:val="tx1"/>
            </w14:solidFill>
          </w14:textFill>
        </w:rPr>
        <w:t>现场应急指挥部及应急工作组（包括但</w:t>
      </w:r>
      <w:r>
        <w:rPr>
          <w:rFonts w:hint="eastAsia"/>
          <w:color w:val="000000" w:themeColor="text1"/>
          <w:sz w:val="24"/>
          <w:szCs w:val="24"/>
          <w:lang w:val="en-GB"/>
          <w14:textFill>
            <w14:solidFill>
              <w14:schemeClr w14:val="tx1"/>
            </w14:solidFill>
          </w14:textFill>
        </w:rPr>
        <w:t>不限于</w:t>
      </w:r>
      <w:r>
        <w:rPr>
          <w:color w:val="000000" w:themeColor="text1"/>
          <w:sz w:val="24"/>
          <w:szCs w:val="24"/>
          <w:lang w:val="en-GB"/>
          <w14:textFill>
            <w14:solidFill>
              <w14:schemeClr w14:val="tx1"/>
            </w14:solidFill>
          </w14:textFill>
        </w:rPr>
        <w:t>）构成：总指挥、副总指挥、区饮用水源地应急办、</w:t>
      </w:r>
      <w:r>
        <w:rPr>
          <w:rFonts w:hint="eastAsia"/>
          <w:color w:val="000000" w:themeColor="text1"/>
          <w:sz w:val="24"/>
          <w:szCs w:val="24"/>
          <w:lang w:val="en-GB" w:eastAsia="zh-CN"/>
          <w14:textFill>
            <w14:solidFill>
              <w14:schemeClr w14:val="tx1"/>
            </w14:solidFill>
          </w14:textFill>
        </w:rPr>
        <w:t>区生态环境局、区应急管理局、区水利局、区公安局、区交通运输局、区自然资源局、区消防大队、区委宣传部、区卫生健康局、水源地所在地乡镇政府、水源地管理单位、应急专家组</w:t>
      </w:r>
      <w:r>
        <w:rPr>
          <w:color w:val="000000" w:themeColor="text1"/>
          <w:sz w:val="24"/>
          <w:szCs w:val="24"/>
          <w:lang w:val="en-GB"/>
          <w14:textFill>
            <w14:solidFill>
              <w14:schemeClr w14:val="tx1"/>
            </w14:solidFill>
          </w14:textFill>
        </w:rPr>
        <w:t>等</w:t>
      </w: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110"/>
        <w:spacing w:before="156" w:after="156"/>
        <w:rPr>
          <w:rFonts w:cs="黑体"/>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bookmarkStart w:id="824" w:name="_Toc18175"/>
      <w:bookmarkStart w:id="825" w:name="_Toc523219340"/>
      <w:bookmarkStart w:id="826" w:name="_Toc527026605"/>
      <w:bookmarkStart w:id="827" w:name="_Toc523223388"/>
      <w:bookmarkStart w:id="828" w:name="_Toc522893271"/>
      <w:bookmarkStart w:id="829" w:name="_Toc523223928"/>
      <w:bookmarkStart w:id="830" w:name="_Toc1257"/>
      <w:bookmarkStart w:id="831" w:name="_Toc529453299"/>
      <w:bookmarkStart w:id="832" w:name="_Toc12884"/>
      <w:bookmarkStart w:id="833" w:name="_Toc523220144"/>
      <w:bookmarkStart w:id="834" w:name="_Toc523219629"/>
      <w:bookmarkStart w:id="835" w:name="_Toc529453145"/>
      <w:bookmarkStart w:id="836" w:name="_Toc528234281"/>
      <w:bookmarkStart w:id="837" w:name="_Toc523153575"/>
    </w:p>
    <w:p>
      <w:pPr>
        <w:pStyle w:val="110"/>
        <w:spacing w:before="156" w:after="156"/>
        <w:rPr>
          <w:color w:val="000000" w:themeColor="text1"/>
          <w14:textFill>
            <w14:solidFill>
              <w14:schemeClr w14:val="tx1"/>
            </w14:solidFill>
          </w14:textFill>
        </w:rPr>
      </w:pPr>
      <w:bookmarkStart w:id="838" w:name="_Toc9366"/>
      <w:r>
        <w:rPr>
          <w:rFonts w:hint="eastAsia" w:cs="黑体"/>
          <w:color w:val="000000" w:themeColor="text1"/>
          <w:sz w:val="24"/>
          <w:szCs w:val="24"/>
          <w14:textFill>
            <w14:solidFill>
              <w14:schemeClr w14:val="tx1"/>
            </w14:solidFill>
          </w14:textFill>
        </w:rPr>
        <w:t>附件</w:t>
      </w:r>
      <w:bookmarkEnd w:id="824"/>
      <w:r>
        <w:rPr>
          <w:rFonts w:hint="eastAsia" w:cs="黑体"/>
          <w:color w:val="000000" w:themeColor="text1"/>
          <w:sz w:val="24"/>
          <w:szCs w:val="24"/>
          <w:lang w:val="en-US" w:eastAsia="zh-CN"/>
          <w14:textFill>
            <w14:solidFill>
              <w14:schemeClr w14:val="tx1"/>
            </w14:solidFill>
          </w14:textFill>
        </w:rPr>
        <w:t>3</w:t>
      </w:r>
      <w:r>
        <w:rPr>
          <w:rFonts w:hint="eastAsia"/>
          <w:color w:val="000000" w:themeColor="text1"/>
          <w:sz w:val="24"/>
          <w:szCs w:val="24"/>
          <w14:textFill>
            <w14:solidFill>
              <w14:schemeClr w14:val="tx1"/>
            </w14:solidFill>
          </w14:textFill>
        </w:rPr>
        <w:t>：</w:t>
      </w:r>
      <w:r>
        <w:rPr>
          <w:rFonts w:hint="eastAsia" w:ascii="黑体" w:hAnsi="黑体" w:cs="黑体"/>
          <w:color w:val="000000" w:themeColor="text1"/>
          <w:sz w:val="24"/>
          <w:szCs w:val="24"/>
          <w14:textFill>
            <w14:solidFill>
              <w14:schemeClr w14:val="tx1"/>
            </w14:solidFill>
          </w14:textFill>
        </w:rPr>
        <w:t>城厢区集中式地表水饮用水水源地突发环境事件应急响应流程图</w:t>
      </w:r>
      <w:bookmarkEnd w:id="825"/>
      <w:bookmarkEnd w:id="826"/>
      <w:bookmarkEnd w:id="827"/>
      <w:bookmarkEnd w:id="828"/>
      <w:bookmarkEnd w:id="829"/>
      <w:bookmarkEnd w:id="830"/>
      <w:bookmarkEnd w:id="831"/>
      <w:bookmarkEnd w:id="832"/>
      <w:bookmarkEnd w:id="833"/>
      <w:bookmarkEnd w:id="834"/>
      <w:bookmarkEnd w:id="835"/>
      <w:bookmarkEnd w:id="836"/>
      <w:bookmarkEnd w:id="837"/>
      <w:r>
        <w:rPr>
          <w:color w:val="000000" w:themeColor="text1"/>
          <w14:textFill>
            <w14:solidFill>
              <w14:schemeClr w14:val="tx1"/>
            </w14:solidFill>
          </w14:textFill>
        </w:rPr>
        <w:drawing>
          <wp:inline distT="0" distB="0" distL="114300" distR="114300">
            <wp:extent cx="4651375" cy="6838315"/>
            <wp:effectExtent l="0" t="0" r="15875" b="635"/>
            <wp:docPr id="4" name="图片 2" descr="应急响应工作路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应急响应工作路线"/>
                    <pic:cNvPicPr>
                      <a:picLocks noChangeAspect="1"/>
                    </pic:cNvPicPr>
                  </pic:nvPicPr>
                  <pic:blipFill>
                    <a:blip r:embed="rId7"/>
                    <a:stretch>
                      <a:fillRect/>
                    </a:stretch>
                  </pic:blipFill>
                  <pic:spPr>
                    <a:xfrm>
                      <a:off x="0" y="0"/>
                      <a:ext cx="4651375" cy="6838315"/>
                    </a:xfrm>
                    <a:prstGeom prst="rect">
                      <a:avLst/>
                    </a:prstGeom>
                    <a:noFill/>
                    <a:ln>
                      <a:noFill/>
                    </a:ln>
                  </pic:spPr>
                </pic:pic>
              </a:graphicData>
            </a:graphic>
          </wp:inline>
        </w:drawing>
      </w:r>
      <w:bookmarkEnd w:id="838"/>
    </w:p>
    <w:p>
      <w:pPr>
        <w:pStyle w:val="77"/>
        <w:ind w:firstLine="0" w:firstLineChars="0"/>
        <w:rPr>
          <w:color w:val="000000" w:themeColor="text1"/>
          <w14:textFill>
            <w14:solidFill>
              <w14:schemeClr w14:val="tx1"/>
            </w14:solidFill>
          </w14:textFill>
        </w:rPr>
      </w:pPr>
    </w:p>
    <w:p>
      <w:pPr>
        <w:pStyle w:val="77"/>
        <w:ind w:firstLine="0" w:firstLineChars="0"/>
        <w:rPr>
          <w:rFonts w:eastAsia="黑体"/>
          <w:color w:val="000000" w:themeColor="text1"/>
          <w:sz w:val="32"/>
          <w:szCs w:val="32"/>
          <w:lang w:val="en-US"/>
          <w14:textFill>
            <w14:solidFill>
              <w14:schemeClr w14:val="tx1"/>
            </w14:solidFill>
          </w14:textFill>
        </w:rPr>
        <w:sectPr>
          <w:pgSz w:w="11906" w:h="16838"/>
          <w:pgMar w:top="1440" w:right="1800" w:bottom="1440" w:left="1800" w:header="851" w:footer="992" w:gutter="0"/>
          <w:cols w:space="425" w:num="1"/>
          <w:docGrid w:type="lines" w:linePitch="312" w:charSpace="0"/>
        </w:sectPr>
      </w:pPr>
    </w:p>
    <w:bookmarkEnd w:id="807"/>
    <w:bookmarkEnd w:id="808"/>
    <w:bookmarkEnd w:id="809"/>
    <w:bookmarkEnd w:id="810"/>
    <w:bookmarkEnd w:id="811"/>
    <w:bookmarkEnd w:id="812"/>
    <w:p>
      <w:pPr>
        <w:pStyle w:val="110"/>
        <w:spacing w:before="156" w:after="156"/>
        <w:rPr>
          <w:rFonts w:ascii="黑体" w:hAnsi="黑体" w:cs="黑体"/>
          <w:color w:val="000000" w:themeColor="text1"/>
          <w:sz w:val="24"/>
          <w:szCs w:val="24"/>
          <w14:textFill>
            <w14:solidFill>
              <w14:schemeClr w14:val="tx1"/>
            </w14:solidFill>
          </w14:textFill>
        </w:rPr>
      </w:pPr>
      <w:bookmarkStart w:id="839" w:name="_Toc19155"/>
      <w:bookmarkStart w:id="840" w:name="_Toc529453141"/>
      <w:bookmarkStart w:id="841" w:name="_Toc529453295"/>
      <w:bookmarkStart w:id="842" w:name="_Toc527026598"/>
      <w:bookmarkStart w:id="843" w:name="_Toc21431"/>
      <w:bookmarkStart w:id="844" w:name="_Toc528234277"/>
      <w:bookmarkStart w:id="845" w:name="_Toc32165"/>
      <w:bookmarkStart w:id="846" w:name="_Toc9807"/>
      <w:r>
        <w:rPr>
          <w:rFonts w:hint="eastAsia" w:cs="黑体"/>
          <w:color w:val="000000" w:themeColor="text1"/>
          <w:sz w:val="24"/>
          <w:szCs w:val="24"/>
          <w14:textFill>
            <w14:solidFill>
              <w14:schemeClr w14:val="tx1"/>
            </w14:solidFill>
          </w14:textFill>
        </w:rPr>
        <w:t>附件</w:t>
      </w:r>
      <w:bookmarkEnd w:id="839"/>
      <w:r>
        <w:rPr>
          <w:rFonts w:hint="eastAsia" w:cs="黑体"/>
          <w:color w:val="000000" w:themeColor="text1"/>
          <w:sz w:val="24"/>
          <w:szCs w:val="24"/>
          <w:lang w:val="en-US" w:eastAsia="zh-CN"/>
          <w14:textFill>
            <w14:solidFill>
              <w14:schemeClr w14:val="tx1"/>
            </w14:solidFill>
          </w14:textFill>
        </w:rPr>
        <w:t>4</w:t>
      </w:r>
      <w:r>
        <w:rPr>
          <w:rFonts w:hint="eastAsia"/>
          <w:color w:val="000000" w:themeColor="text1"/>
          <w:sz w:val="24"/>
          <w:szCs w:val="24"/>
          <w14:textFill>
            <w14:solidFill>
              <w14:schemeClr w14:val="tx1"/>
            </w14:solidFill>
          </w14:textFill>
        </w:rPr>
        <w:t>：</w:t>
      </w:r>
      <w:bookmarkEnd w:id="813"/>
      <w:bookmarkEnd w:id="814"/>
      <w:bookmarkEnd w:id="815"/>
      <w:bookmarkEnd w:id="816"/>
      <w:bookmarkEnd w:id="817"/>
      <w:bookmarkEnd w:id="818"/>
      <w:bookmarkEnd w:id="819"/>
      <w:bookmarkEnd w:id="820"/>
      <w:bookmarkEnd w:id="840"/>
      <w:bookmarkEnd w:id="841"/>
      <w:bookmarkEnd w:id="842"/>
      <w:bookmarkEnd w:id="843"/>
      <w:bookmarkEnd w:id="844"/>
      <w:bookmarkEnd w:id="845"/>
      <w:r>
        <w:rPr>
          <w:rFonts w:hint="eastAsia" w:ascii="黑体" w:hAnsi="黑体" w:cs="黑体"/>
          <w:color w:val="000000" w:themeColor="text1"/>
          <w:sz w:val="24"/>
          <w:szCs w:val="24"/>
          <w14:textFill>
            <w14:solidFill>
              <w14:schemeClr w14:val="tx1"/>
            </w14:solidFill>
          </w14:textFill>
        </w:rPr>
        <w:t>城厢区集中式地表水饮用水水源地突发环境事件现场调查表</w:t>
      </w:r>
      <w:bookmarkEnd w:id="846"/>
    </w:p>
    <w:p>
      <w:pPr>
        <w:pStyle w:val="77"/>
        <w:wordWrap w:val="0"/>
        <w:ind w:right="120" w:firstLine="480"/>
        <w:jc w:val="center"/>
        <w:rPr>
          <w:color w:val="000000" w:themeColor="text1"/>
          <w:sz w:val="21"/>
          <w:szCs w:val="21"/>
          <w14:textFill>
            <w14:solidFill>
              <w14:schemeClr w14:val="tx1"/>
            </w14:solidFill>
          </w14:textFill>
        </w:rPr>
      </w:pPr>
      <w:r>
        <w:rPr>
          <w:rFonts w:hint="eastAsia" w:cs="宋体"/>
          <w:color w:val="000000" w:themeColor="text1"/>
          <w:lang w:val="en-US"/>
          <w14:textFill>
            <w14:solidFill>
              <w14:schemeClr w14:val="tx1"/>
            </w14:solidFill>
          </w14:textFill>
        </w:rPr>
        <w:t xml:space="preserve">                                  </w:t>
      </w:r>
      <w:r>
        <w:rPr>
          <w:rFonts w:hint="eastAsia" w:cs="宋体"/>
          <w:color w:val="000000" w:themeColor="text1"/>
          <w:sz w:val="21"/>
          <w:szCs w:val="21"/>
          <w:lang w:val="en-US"/>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调查时间：</w:t>
      </w:r>
      <w:r>
        <w:rPr>
          <w:rFonts w:hint="eastAsia" w:cs="宋体"/>
          <w:color w:val="000000" w:themeColor="text1"/>
          <w:sz w:val="21"/>
          <w:szCs w:val="21"/>
          <w:lang w:val="en-US"/>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年</w:t>
      </w:r>
      <w:r>
        <w:rPr>
          <w:rFonts w:hint="eastAsia" w:cs="宋体"/>
          <w:color w:val="000000" w:themeColor="text1"/>
          <w:sz w:val="21"/>
          <w:szCs w:val="21"/>
          <w:lang w:val="en-US"/>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月</w:t>
      </w:r>
      <w:r>
        <w:rPr>
          <w:rFonts w:hint="eastAsia" w:cs="宋体"/>
          <w:color w:val="000000" w:themeColor="text1"/>
          <w:sz w:val="21"/>
          <w:szCs w:val="21"/>
          <w:lang w:val="en-US"/>
          <w14:textFill>
            <w14:solidFill>
              <w14:schemeClr w14:val="tx1"/>
            </w14:solidFill>
          </w14:textFill>
        </w:rPr>
        <w:t xml:space="preserve">  </w:t>
      </w:r>
      <w:r>
        <w:rPr>
          <w:rFonts w:hint="eastAsia" w:cs="宋体"/>
          <w:color w:val="000000" w:themeColor="text1"/>
          <w:sz w:val="21"/>
          <w:szCs w:val="21"/>
          <w14:textFill>
            <w14:solidFill>
              <w14:schemeClr w14:val="tx1"/>
            </w14:solidFill>
          </w14:textFill>
        </w:rPr>
        <w:t>日时分</w:t>
      </w:r>
    </w:p>
    <w:tbl>
      <w:tblPr>
        <w:tblStyle w:val="39"/>
        <w:tblW w:w="85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949"/>
        <w:gridCol w:w="151"/>
        <w:gridCol w:w="1120"/>
        <w:gridCol w:w="213"/>
        <w:gridCol w:w="493"/>
        <w:gridCol w:w="445"/>
        <w:gridCol w:w="467"/>
        <w:gridCol w:w="498"/>
        <w:gridCol w:w="733"/>
        <w:gridCol w:w="20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11"/>
            <w:tcBorders>
              <w:tl2br w:val="nil"/>
              <w:tr2bl w:val="nil"/>
            </w:tcBorders>
            <w:vAlign w:val="center"/>
          </w:tcPr>
          <w:p>
            <w:pPr>
              <w:pStyle w:val="77"/>
              <w:ind w:firstLine="0" w:firstLineChars="0"/>
              <w:jc w:val="left"/>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1</w:t>
            </w:r>
            <w:r>
              <w:rPr>
                <w:rFonts w:hint="eastAsia" w:cs="宋体"/>
                <w:b/>
                <w:bCs/>
                <w:color w:val="000000" w:themeColor="text1"/>
                <w:sz w:val="21"/>
                <w:szCs w:val="21"/>
                <w14:textFill>
                  <w14:solidFill>
                    <w14:schemeClr w14:val="tx1"/>
                  </w14:solidFill>
                </w14:textFill>
              </w:rPr>
              <w:t>、突发环境事件基本情况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366" w:type="dxa"/>
            <w:gridSpan w:val="2"/>
            <w:tcBorders>
              <w:tl2br w:val="nil"/>
              <w:tr2bl w:val="nil"/>
            </w:tcBorders>
            <w:vAlign w:val="center"/>
          </w:tcPr>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信息来源</w:t>
            </w:r>
          </w:p>
        </w:tc>
        <w:tc>
          <w:tcPr>
            <w:tcW w:w="1271" w:type="dxa"/>
            <w:gridSpan w:val="2"/>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p>
        </w:tc>
        <w:tc>
          <w:tcPr>
            <w:tcW w:w="706" w:type="dxa"/>
            <w:gridSpan w:val="2"/>
            <w:tcBorders>
              <w:tl2br w:val="nil"/>
              <w:tr2bl w:val="nil"/>
            </w:tcBorders>
            <w:vAlign w:val="center"/>
          </w:tcPr>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发生时间</w:t>
            </w:r>
          </w:p>
        </w:tc>
        <w:tc>
          <w:tcPr>
            <w:tcW w:w="1410" w:type="dxa"/>
            <w:gridSpan w:val="3"/>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p>
        </w:tc>
        <w:tc>
          <w:tcPr>
            <w:tcW w:w="733" w:type="dxa"/>
            <w:tcBorders>
              <w:tl2br w:val="nil"/>
              <w:tr2bl w:val="nil"/>
            </w:tcBorders>
            <w:vAlign w:val="center"/>
          </w:tcPr>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地点</w:t>
            </w:r>
          </w:p>
        </w:tc>
        <w:tc>
          <w:tcPr>
            <w:tcW w:w="2036" w:type="dxa"/>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2366" w:type="dxa"/>
            <w:gridSpan w:val="2"/>
            <w:tcBorders>
              <w:tl2br w:val="nil"/>
              <w:tr2bl w:val="nil"/>
            </w:tcBorders>
            <w:vAlign w:val="center"/>
          </w:tcPr>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事件起因</w:t>
            </w:r>
          </w:p>
        </w:tc>
        <w:tc>
          <w:tcPr>
            <w:tcW w:w="6156" w:type="dxa"/>
            <w:gridSpan w:val="9"/>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2366" w:type="dxa"/>
            <w:gridSpan w:val="2"/>
            <w:tcBorders>
              <w:tl2br w:val="nil"/>
              <w:tr2bl w:val="nil"/>
            </w:tcBorders>
            <w:vAlign w:val="center"/>
          </w:tcPr>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主要污染物和数量</w:t>
            </w:r>
          </w:p>
        </w:tc>
        <w:tc>
          <w:tcPr>
            <w:tcW w:w="6156" w:type="dxa"/>
            <w:gridSpan w:val="9"/>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2366" w:type="dxa"/>
            <w:gridSpan w:val="2"/>
            <w:tcBorders>
              <w:tl2br w:val="nil"/>
              <w:tr2bl w:val="nil"/>
            </w:tcBorders>
            <w:vAlign w:val="center"/>
          </w:tcPr>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污染程度和范围</w:t>
            </w:r>
          </w:p>
        </w:tc>
        <w:tc>
          <w:tcPr>
            <w:tcW w:w="6156" w:type="dxa"/>
            <w:gridSpan w:val="9"/>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2366" w:type="dxa"/>
            <w:gridSpan w:val="2"/>
            <w:tcBorders>
              <w:tl2br w:val="nil"/>
              <w:tr2bl w:val="nil"/>
            </w:tcBorders>
            <w:vAlign w:val="center"/>
          </w:tcPr>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人员受害</w:t>
            </w:r>
          </w:p>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及救护情况</w:t>
            </w:r>
          </w:p>
        </w:tc>
        <w:tc>
          <w:tcPr>
            <w:tcW w:w="6156" w:type="dxa"/>
            <w:gridSpan w:val="9"/>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2366" w:type="dxa"/>
            <w:gridSpan w:val="2"/>
            <w:tcBorders>
              <w:tl2br w:val="nil"/>
              <w:tr2bl w:val="nil"/>
            </w:tcBorders>
            <w:vAlign w:val="center"/>
          </w:tcPr>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是否及时启动</w:t>
            </w:r>
          </w:p>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环境应急预案</w:t>
            </w:r>
          </w:p>
        </w:tc>
        <w:tc>
          <w:tcPr>
            <w:tcW w:w="1271" w:type="dxa"/>
            <w:gridSpan w:val="2"/>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p>
        </w:tc>
        <w:tc>
          <w:tcPr>
            <w:tcW w:w="1151" w:type="dxa"/>
            <w:gridSpan w:val="3"/>
            <w:tcBorders>
              <w:tl2br w:val="nil"/>
              <w:tr2bl w:val="nil"/>
            </w:tcBorders>
            <w:vAlign w:val="center"/>
          </w:tcPr>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预计事件发展趋势</w:t>
            </w:r>
          </w:p>
        </w:tc>
        <w:tc>
          <w:tcPr>
            <w:tcW w:w="3734" w:type="dxa"/>
            <w:gridSpan w:val="4"/>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637" w:type="dxa"/>
            <w:gridSpan w:val="4"/>
            <w:tcBorders>
              <w:tl2br w:val="nil"/>
              <w:tr2bl w:val="nil"/>
            </w:tcBorders>
            <w:vAlign w:val="center"/>
          </w:tcPr>
          <w:p>
            <w:pPr>
              <w:pStyle w:val="77"/>
              <w:ind w:firstLine="0" w:firstLineChars="0"/>
              <w:jc w:val="left"/>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2</w:t>
            </w:r>
            <w:r>
              <w:rPr>
                <w:rFonts w:hint="eastAsia" w:cs="宋体"/>
                <w:b/>
                <w:bCs/>
                <w:color w:val="000000" w:themeColor="text1"/>
                <w:sz w:val="21"/>
                <w:szCs w:val="21"/>
                <w14:textFill>
                  <w14:solidFill>
                    <w14:schemeClr w14:val="tx1"/>
                  </w14:solidFill>
                </w14:textFill>
              </w:rPr>
              <w:t>、事件可能级别</w:t>
            </w:r>
          </w:p>
        </w:tc>
        <w:tc>
          <w:tcPr>
            <w:tcW w:w="4885" w:type="dxa"/>
            <w:gridSpan w:val="7"/>
            <w:tcBorders>
              <w:tl2br w:val="nil"/>
              <w:tr2bl w:val="nil"/>
            </w:tcBorders>
            <w:vAlign w:val="center"/>
          </w:tcPr>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特别重大口重大口较大口一般口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522" w:type="dxa"/>
            <w:gridSpan w:val="11"/>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w:t>
            </w:r>
            <w:r>
              <w:rPr>
                <w:rFonts w:hint="eastAsia" w:cs="宋体"/>
                <w:color w:val="000000" w:themeColor="text1"/>
                <w:sz w:val="21"/>
                <w:szCs w:val="21"/>
                <w14:textFill>
                  <w14:solidFill>
                    <w14:schemeClr w14:val="tx1"/>
                  </w14:solidFill>
                </w14:textFill>
              </w:rPr>
              <w:t>）是否对饮用水源保护区造成或者可能造成影响：否口是口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522" w:type="dxa"/>
            <w:gridSpan w:val="11"/>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2</w:t>
            </w:r>
            <w:r>
              <w:rPr>
                <w:rFonts w:hint="eastAsia" w:cs="宋体"/>
                <w:color w:val="000000" w:themeColor="text1"/>
                <w:sz w:val="21"/>
                <w:szCs w:val="21"/>
                <w14:textFill>
                  <w14:solidFill>
                    <w14:schemeClr w14:val="tx1"/>
                  </w14:solidFill>
                </w14:textFill>
              </w:rPr>
              <w:t>）是否涉及居民聚居区、学校、医院等敏感区域和敏感人群：否口是口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522" w:type="dxa"/>
            <w:gridSpan w:val="11"/>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3</w:t>
            </w:r>
            <w:r>
              <w:rPr>
                <w:rFonts w:hint="eastAsia" w:cs="宋体"/>
                <w:color w:val="000000" w:themeColor="text1"/>
                <w:sz w:val="21"/>
                <w:szCs w:val="21"/>
                <w14:textFill>
                  <w14:solidFill>
                    <w14:schemeClr w14:val="tx1"/>
                  </w14:solidFill>
                </w14:textFill>
              </w:rPr>
              <w:t>）是否涉及重金属或者类金属污染：否口是口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522" w:type="dxa"/>
            <w:gridSpan w:val="11"/>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4</w:t>
            </w:r>
            <w:r>
              <w:rPr>
                <w:rFonts w:hint="eastAsia" w:cs="宋体"/>
                <w:color w:val="000000" w:themeColor="text1"/>
                <w:sz w:val="21"/>
                <w:szCs w:val="21"/>
                <w14:textFill>
                  <w14:solidFill>
                    <w14:schemeClr w14:val="tx1"/>
                  </w14:solidFill>
                </w14:textFill>
              </w:rPr>
              <w:t>）是否因环境污染引发群体性事件，或者社会影响较大的：否口是口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522" w:type="dxa"/>
            <w:gridSpan w:val="11"/>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5</w:t>
            </w:r>
            <w:r>
              <w:rPr>
                <w:rFonts w:hint="eastAsia" w:cs="宋体"/>
                <w:color w:val="000000" w:themeColor="text1"/>
                <w:sz w:val="21"/>
                <w:szCs w:val="21"/>
                <w14:textFill>
                  <w14:solidFill>
                    <w14:schemeClr w14:val="tx1"/>
                  </w14:solidFill>
                </w14:textFill>
              </w:rPr>
              <w:t>）是否有可能产生跨市、跨省或者跨国影响的：否口是口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522" w:type="dxa"/>
            <w:gridSpan w:val="11"/>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6</w:t>
            </w:r>
            <w:r>
              <w:rPr>
                <w:rFonts w:hint="eastAsia" w:cs="宋体"/>
                <w:color w:val="000000" w:themeColor="text1"/>
                <w:sz w:val="21"/>
                <w:szCs w:val="21"/>
                <w14:textFill>
                  <w14:solidFill>
                    <w14:schemeClr w14:val="tx1"/>
                  </w14:solidFill>
                </w14:textFill>
              </w:rPr>
              <w:t>）其他情形：</w:t>
            </w:r>
            <w:r>
              <w:rPr>
                <w:color w:val="000000" w:themeColor="text1"/>
                <w:sz w:val="21"/>
                <w:szCs w:val="21"/>
                <w14:textFill>
                  <w14:solidFill>
                    <w14:schemeClr w14:val="tx1"/>
                  </w14:solidFill>
                </w14:textFill>
              </w:rPr>
              <w:t>_______________</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2517" w:type="dxa"/>
            <w:gridSpan w:val="3"/>
            <w:tcBorders>
              <w:tl2br w:val="nil"/>
              <w:tr2bl w:val="nil"/>
            </w:tcBorders>
            <w:vAlign w:val="center"/>
          </w:tcPr>
          <w:p>
            <w:pPr>
              <w:pStyle w:val="77"/>
              <w:ind w:firstLine="0" w:firstLineChars="0"/>
              <w:jc w:val="left"/>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3</w:t>
            </w:r>
            <w:r>
              <w:rPr>
                <w:rFonts w:hint="eastAsia" w:cs="宋体"/>
                <w:b/>
                <w:bCs/>
                <w:color w:val="000000" w:themeColor="text1"/>
                <w:sz w:val="21"/>
                <w:szCs w:val="21"/>
                <w14:textFill>
                  <w14:solidFill>
                    <w14:schemeClr w14:val="tx1"/>
                  </w14:solidFill>
                </w14:textFill>
              </w:rPr>
              <w:t>、信息报告情况</w:t>
            </w:r>
          </w:p>
        </w:tc>
        <w:tc>
          <w:tcPr>
            <w:tcW w:w="6005" w:type="dxa"/>
            <w:gridSpan w:val="8"/>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（何时向何部门报告）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2517" w:type="dxa"/>
            <w:gridSpan w:val="3"/>
            <w:tcBorders>
              <w:tl2br w:val="nil"/>
              <w:tr2bl w:val="nil"/>
            </w:tcBorders>
            <w:vAlign w:val="center"/>
          </w:tcPr>
          <w:p>
            <w:pPr>
              <w:pStyle w:val="77"/>
              <w:ind w:firstLine="0" w:firstLineChars="0"/>
              <w:jc w:val="left"/>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4</w:t>
            </w:r>
            <w:r>
              <w:rPr>
                <w:rFonts w:hint="eastAsia" w:cs="宋体"/>
                <w:b/>
                <w:bCs/>
                <w:color w:val="000000" w:themeColor="text1"/>
                <w:sz w:val="21"/>
                <w:szCs w:val="21"/>
                <w14:textFill>
                  <w14:solidFill>
                    <w14:schemeClr w14:val="tx1"/>
                  </w14:solidFill>
                </w14:textFill>
              </w:rPr>
              <w:t>、监测情况</w:t>
            </w:r>
          </w:p>
        </w:tc>
        <w:tc>
          <w:tcPr>
            <w:tcW w:w="6005" w:type="dxa"/>
            <w:gridSpan w:val="8"/>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（何时，何地取样，监测结果）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2517" w:type="dxa"/>
            <w:gridSpan w:val="3"/>
            <w:tcBorders>
              <w:tl2br w:val="nil"/>
              <w:tr2bl w:val="nil"/>
            </w:tcBorders>
            <w:vAlign w:val="center"/>
          </w:tcPr>
          <w:p>
            <w:pPr>
              <w:pStyle w:val="77"/>
              <w:ind w:firstLine="0" w:firstLineChars="0"/>
              <w:jc w:val="left"/>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5</w:t>
            </w:r>
            <w:r>
              <w:rPr>
                <w:rFonts w:hint="eastAsia" w:cs="宋体"/>
                <w:b/>
                <w:bCs/>
                <w:color w:val="000000" w:themeColor="text1"/>
                <w:sz w:val="21"/>
                <w:szCs w:val="21"/>
                <w14:textFill>
                  <w14:solidFill>
                    <w14:schemeClr w14:val="tx1"/>
                  </w14:solidFill>
                </w14:textFill>
              </w:rPr>
              <w:t>、已采取的措施</w:t>
            </w:r>
          </w:p>
          <w:p>
            <w:pPr>
              <w:pStyle w:val="77"/>
              <w:ind w:firstLine="0" w:firstLineChars="0"/>
              <w:jc w:val="left"/>
              <w:rPr>
                <w:b/>
                <w:bCs/>
                <w:color w:val="000000" w:themeColor="text1"/>
                <w:sz w:val="21"/>
                <w:szCs w:val="21"/>
                <w14:textFill>
                  <w14:solidFill>
                    <w14:schemeClr w14:val="tx1"/>
                  </w14:solidFill>
                </w14:textFill>
              </w:rPr>
            </w:pPr>
            <w:r>
              <w:rPr>
                <w:rFonts w:hint="eastAsia" w:cs="宋体"/>
                <w:b/>
                <w:bCs/>
                <w:color w:val="000000" w:themeColor="text1"/>
                <w:sz w:val="21"/>
                <w:szCs w:val="21"/>
                <w14:textFill>
                  <w14:solidFill>
                    <w14:schemeClr w14:val="tx1"/>
                  </w14:solidFill>
                </w14:textFill>
              </w:rPr>
              <w:t>及效果</w:t>
            </w:r>
          </w:p>
        </w:tc>
        <w:tc>
          <w:tcPr>
            <w:tcW w:w="6005" w:type="dxa"/>
            <w:gridSpan w:val="8"/>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2517" w:type="dxa"/>
            <w:gridSpan w:val="3"/>
            <w:tcBorders>
              <w:tl2br w:val="nil"/>
              <w:tr2bl w:val="nil"/>
            </w:tcBorders>
            <w:vAlign w:val="center"/>
          </w:tcPr>
          <w:p>
            <w:pPr>
              <w:pStyle w:val="77"/>
              <w:ind w:firstLine="0" w:firstLineChars="0"/>
              <w:jc w:val="left"/>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6</w:t>
            </w:r>
            <w:r>
              <w:rPr>
                <w:rFonts w:hint="eastAsia" w:cs="宋体"/>
                <w:b/>
                <w:bCs/>
                <w:color w:val="000000" w:themeColor="text1"/>
                <w:sz w:val="21"/>
                <w:szCs w:val="21"/>
                <w14:textFill>
                  <w14:solidFill>
                    <w14:schemeClr w14:val="tx1"/>
                  </w14:solidFill>
                </w14:textFill>
              </w:rPr>
              <w:t>、下一步拟采取措施</w:t>
            </w:r>
          </w:p>
        </w:tc>
        <w:tc>
          <w:tcPr>
            <w:tcW w:w="6005" w:type="dxa"/>
            <w:gridSpan w:val="8"/>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417" w:type="dxa"/>
            <w:tcBorders>
              <w:tl2br w:val="nil"/>
              <w:tr2bl w:val="nil"/>
            </w:tcBorders>
            <w:vAlign w:val="center"/>
          </w:tcPr>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被调查人</w:t>
            </w:r>
          </w:p>
        </w:tc>
        <w:tc>
          <w:tcPr>
            <w:tcW w:w="1100" w:type="dxa"/>
            <w:gridSpan w:val="2"/>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p>
        </w:tc>
        <w:tc>
          <w:tcPr>
            <w:tcW w:w="1333" w:type="dxa"/>
            <w:gridSpan w:val="2"/>
            <w:tcBorders>
              <w:tl2br w:val="nil"/>
              <w:tr2bl w:val="nil"/>
            </w:tcBorders>
            <w:vAlign w:val="center"/>
          </w:tcPr>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职务</w:t>
            </w:r>
          </w:p>
        </w:tc>
        <w:tc>
          <w:tcPr>
            <w:tcW w:w="1405" w:type="dxa"/>
            <w:gridSpan w:val="3"/>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p>
        </w:tc>
        <w:tc>
          <w:tcPr>
            <w:tcW w:w="1231" w:type="dxa"/>
            <w:gridSpan w:val="2"/>
            <w:tcBorders>
              <w:tl2br w:val="nil"/>
              <w:tr2bl w:val="nil"/>
            </w:tcBorders>
            <w:vAlign w:val="center"/>
          </w:tcPr>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联系方式</w:t>
            </w:r>
          </w:p>
        </w:tc>
        <w:tc>
          <w:tcPr>
            <w:tcW w:w="2036" w:type="dxa"/>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17" w:type="dxa"/>
            <w:tcBorders>
              <w:tl2br w:val="nil"/>
              <w:tr2bl w:val="nil"/>
            </w:tcBorders>
            <w:vAlign w:val="center"/>
          </w:tcPr>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调查人</w:t>
            </w:r>
          </w:p>
        </w:tc>
        <w:tc>
          <w:tcPr>
            <w:tcW w:w="1100" w:type="dxa"/>
            <w:gridSpan w:val="2"/>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p>
        </w:tc>
        <w:tc>
          <w:tcPr>
            <w:tcW w:w="1333" w:type="dxa"/>
            <w:gridSpan w:val="2"/>
            <w:tcBorders>
              <w:tl2br w:val="nil"/>
              <w:tr2bl w:val="nil"/>
            </w:tcBorders>
            <w:vAlign w:val="center"/>
          </w:tcPr>
          <w:p>
            <w:pPr>
              <w:pStyle w:val="77"/>
              <w:ind w:firstLine="0" w:firstLineChars="0"/>
              <w:jc w:val="center"/>
              <w:rPr>
                <w:color w:val="000000" w:themeColor="text1"/>
                <w:sz w:val="21"/>
                <w:szCs w:val="21"/>
                <w14:textFill>
                  <w14:solidFill>
                    <w14:schemeClr w14:val="tx1"/>
                  </w14:solidFill>
                </w14:textFill>
              </w:rPr>
            </w:pPr>
            <w:r>
              <w:rPr>
                <w:rFonts w:hint="eastAsia" w:cs="宋体"/>
                <w:color w:val="000000" w:themeColor="text1"/>
                <w:sz w:val="21"/>
                <w:szCs w:val="21"/>
                <w14:textFill>
                  <w14:solidFill>
                    <w14:schemeClr w14:val="tx1"/>
                  </w14:solidFill>
                </w14:textFill>
              </w:rPr>
              <w:t>单位</w:t>
            </w:r>
          </w:p>
        </w:tc>
        <w:tc>
          <w:tcPr>
            <w:tcW w:w="4672" w:type="dxa"/>
            <w:gridSpan w:val="6"/>
            <w:tcBorders>
              <w:tl2br w:val="nil"/>
              <w:tr2bl w:val="nil"/>
            </w:tcBorders>
            <w:vAlign w:val="center"/>
          </w:tcPr>
          <w:p>
            <w:pPr>
              <w:pStyle w:val="77"/>
              <w:ind w:firstLine="420"/>
              <w:jc w:val="center"/>
              <w:rPr>
                <w:color w:val="000000" w:themeColor="text1"/>
                <w:sz w:val="21"/>
                <w:szCs w:val="21"/>
                <w14:textFill>
                  <w14:solidFill>
                    <w14:schemeClr w14:val="tx1"/>
                  </w14:solidFill>
                </w14:textFill>
              </w:rPr>
            </w:pPr>
          </w:p>
        </w:tc>
      </w:tr>
    </w:tbl>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8"/>
        <w:spacing w:before="156" w:after="156"/>
        <w:rPr>
          <w:rFonts w:ascii="黑体" w:hAnsi="黑体" w:cs="黑体"/>
          <w:color w:val="000000" w:themeColor="text1"/>
          <w:sz w:val="24"/>
          <w:szCs w:val="24"/>
          <w14:textFill>
            <w14:solidFill>
              <w14:schemeClr w14:val="tx1"/>
            </w14:solidFill>
          </w14:textFill>
        </w:rPr>
      </w:pPr>
      <w:r>
        <w:rPr>
          <w:rFonts w:hint="eastAsia" w:ascii="黑体" w:hAnsi="黑体" w:cs="黑体"/>
          <w:color w:val="000000" w:themeColor="text1"/>
          <w:sz w:val="24"/>
          <w:szCs w:val="24"/>
          <w14:textFill>
            <w14:solidFill>
              <w14:schemeClr w14:val="tx1"/>
            </w14:solidFill>
          </w14:textFill>
        </w:rPr>
        <w:t>城厢区集中式地表水饮用水水源地突发环境事件现场踏勘图</w:t>
      </w:r>
    </w:p>
    <w:tbl>
      <w:tblPr>
        <w:tblStyle w:val="39"/>
        <w:tblW w:w="852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69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09" w:hRule="atLeast"/>
          <w:jc w:val="center"/>
        </w:trPr>
        <w:tc>
          <w:tcPr>
            <w:tcW w:w="1573" w:type="dxa"/>
            <w:tcBorders>
              <w:tl2br w:val="nil"/>
              <w:tr2bl w:val="nil"/>
            </w:tcBorders>
            <w:vAlign w:val="center"/>
          </w:tcPr>
          <w:p>
            <w:pPr>
              <w:pStyle w:val="77"/>
              <w:ind w:firstLine="422"/>
              <w:rPr>
                <w:b/>
                <w:bCs/>
                <w:color w:val="000000" w:themeColor="text1"/>
                <w:sz w:val="21"/>
                <w:szCs w:val="21"/>
                <w14:textFill>
                  <w14:solidFill>
                    <w14:schemeClr w14:val="tx1"/>
                  </w14:solidFill>
                </w14:textFill>
              </w:rPr>
            </w:pPr>
            <w:r>
              <w:rPr>
                <w:rFonts w:hint="eastAsia" w:cs="宋体"/>
                <w:b/>
                <w:bCs/>
                <w:color w:val="000000" w:themeColor="text1"/>
                <w:sz w:val="21"/>
                <w:szCs w:val="21"/>
                <w14:textFill>
                  <w14:solidFill>
                    <w14:schemeClr w14:val="tx1"/>
                  </w14:solidFill>
                </w14:textFill>
              </w:rPr>
              <w:t>地点</w:t>
            </w:r>
          </w:p>
        </w:tc>
        <w:tc>
          <w:tcPr>
            <w:tcW w:w="6949" w:type="dxa"/>
            <w:tcBorders>
              <w:tl2br w:val="nil"/>
              <w:tr2bl w:val="nil"/>
            </w:tcBorders>
          </w:tcPr>
          <w:p>
            <w:pPr>
              <w:pStyle w:val="77"/>
              <w:ind w:firstLine="422"/>
              <w:rPr>
                <w:b/>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1573" w:type="dxa"/>
            <w:tcBorders>
              <w:tl2br w:val="nil"/>
              <w:tr2bl w:val="nil"/>
            </w:tcBorders>
            <w:vAlign w:val="center"/>
          </w:tcPr>
          <w:p>
            <w:pPr>
              <w:pStyle w:val="77"/>
              <w:ind w:firstLine="0" w:firstLineChars="0"/>
              <w:rPr>
                <w:b/>
                <w:bCs/>
                <w:color w:val="000000" w:themeColor="text1"/>
                <w:sz w:val="21"/>
                <w:szCs w:val="21"/>
                <w14:textFill>
                  <w14:solidFill>
                    <w14:schemeClr w14:val="tx1"/>
                  </w14:solidFill>
                </w14:textFill>
              </w:rPr>
            </w:pPr>
            <w:r>
              <w:rPr>
                <w:rFonts w:hint="eastAsia" w:cs="宋体"/>
                <w:b/>
                <w:bCs/>
                <w:color w:val="000000" w:themeColor="text1"/>
                <w:sz w:val="21"/>
                <w:szCs w:val="21"/>
                <w14:textFill>
                  <w14:solidFill>
                    <w14:schemeClr w14:val="tx1"/>
                  </w14:solidFill>
                </w14:textFill>
              </w:rPr>
              <w:t>周边环境状况和环境敏感点</w:t>
            </w:r>
          </w:p>
        </w:tc>
        <w:tc>
          <w:tcPr>
            <w:tcW w:w="6949" w:type="dxa"/>
            <w:tcBorders>
              <w:tl2br w:val="nil"/>
              <w:tr2bl w:val="nil"/>
            </w:tcBorders>
          </w:tcPr>
          <w:p>
            <w:pPr>
              <w:pStyle w:val="77"/>
              <w:ind w:firstLine="422"/>
              <w:rPr>
                <w:b/>
                <w:bCs/>
                <w:color w:val="000000" w:themeColor="text1"/>
                <w:sz w:val="2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73" w:hRule="atLeast"/>
          <w:jc w:val="center"/>
        </w:trPr>
        <w:tc>
          <w:tcPr>
            <w:tcW w:w="8522" w:type="dxa"/>
            <w:gridSpan w:val="2"/>
            <w:tcBorders>
              <w:tl2br w:val="nil"/>
              <w:tr2bl w:val="nil"/>
            </w:tcBorders>
          </w:tcPr>
          <w:p>
            <w:pPr>
              <w:pStyle w:val="77"/>
              <w:ind w:firstLine="420"/>
              <w:rPr>
                <w:b/>
                <w:bCs/>
                <w:color w:val="000000" w:themeColor="text1"/>
                <w:sz w:val="21"/>
                <w:szCs w:val="21"/>
                <w14:textFill>
                  <w14:solidFill>
                    <w14:schemeClr w14:val="tx1"/>
                  </w14:solidFill>
                </w14:textFill>
              </w:rPr>
            </w:pPr>
            <w:r>
              <w:rPr>
                <w:color w:val="000000" w:themeColor="text1"/>
                <w:sz w:val="21"/>
                <w:szCs w:val="21"/>
                <w:lang w:val="en-US"/>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4885055</wp:posOffset>
                      </wp:positionH>
                      <wp:positionV relativeFrom="paragraph">
                        <wp:posOffset>346710</wp:posOffset>
                      </wp:positionV>
                      <wp:extent cx="635" cy="297180"/>
                      <wp:effectExtent l="37465" t="0" r="38100" b="7620"/>
                      <wp:wrapNone/>
                      <wp:docPr id="1" name="直接连接符 27"/>
                      <wp:cNvGraphicFramePr/>
                      <a:graphic xmlns:a="http://schemas.openxmlformats.org/drawingml/2006/main">
                        <a:graphicData uri="http://schemas.microsoft.com/office/word/2010/wordprocessingShape">
                          <wps:wsp>
                            <wps:cNvCnPr/>
                            <wps:spPr>
                              <a:xfrm flipV="1">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直接连接符 27" o:spid="_x0000_s1026" o:spt="20" style="position:absolute;left:0pt;flip:y;margin-left:384.65pt;margin-top:27.3pt;height:23.4pt;width:0.05pt;z-index:251660288;mso-width-relative:page;mso-height-relative:page;" filled="f" stroked="t" coordsize="21600,21600" o:gfxdata="UEsDBAoAAAAAAIdO4kAAAAAAAAAAAAAAAAAEAAAAZHJzL1BLAwQUAAAACACHTuJAqswRhdkAAAAK&#10;AQAADwAAAGRycy9kb3ducmV2LnhtbE2PwU7DMAyG70i8Q2QkbiwpdIWVpjsgkDghtiEkbllj2rLG&#10;KUm2Dp4ec4Kj7U+/v79aHt0gDhhi70lDNlMgkBpve2o1vGweLm5AxGTImsETavjCCMv69KQypfUT&#10;rfCwTq3gEIql0dClNJZSxqZDZ+LMj0h8e/fBmcRjaKUNZuJwN8hLpQrpTE/8oTMj3nXY7NZ7p2Gx&#10;meb+Oexe86z/fPu+/0jj41PS+vwsU7cgEh7THwy/+qwONTtt/Z5sFIOG62JxxaiGeV6AYIAXOYgt&#10;kyrLQdaV/F+h/gFQSwMEFAAAAAgAh07iQAesb/YKAgAAAgQAAA4AAABkcnMvZTJvRG9jLnhtbK1T&#10;S44TMRDdI3EHy3vSSdD8WunMYsKwQTASn33FbXdb8k8uJ51cggsgsYMVS/bchuEYlN0hDIOQZkEv&#10;rHK5/Kre6+fF5c4atpURtXcNn02mnEknfKtd1/C3b66fnHOGCVwLxjvZ8L1Efrl8/GgxhFrOfe9N&#10;KyMjEIf1EBrepxTqqkLRSws48UE6OlQ+Wki0jV3VRhgI3ZpqPp2eVoOPbYheSETKrsZDfkCMDwH0&#10;SmkhV15srHRpRI3SQCJK2OuAfFmmVUqK9EoplImZhhPTVFZqQvE6r9VyAXUXIfRaHEaAh4xwj5MF&#10;7ajpEWoFCdgm6r+grBbRo1dpIrytRiJFEWIxm97T5nUPQRYuJDWGo+j4/2DFy+1NZLolJ3DmwNIP&#10;v/3w9fv7Tz++faT19stnNj/LKg0Bayq+cjfxsMNwEzPlnYqWKaPDuwySM0SL7YrG+6PGcpeYoOTp&#10;0xPOBOXnF2ez8/IDqhEj3wwR03PpLctBw412mT/UsH2BifpS6a+SnDaODQ2/OJlnTCAzKjIBhTYQ&#10;IXRduYve6PZaG5NvYOzWVyayLWRDlC+zI9w/ynKTFWA/1pWj0Sq9hPaZa1naB5LK0QvheQQrW86M&#10;pAeVIwKEOoE2vytT1OA6849qam9cviSLZQ9cs+SjyDla+3ZPv2oTou560mZW5s4nZI3C4GDj7L27&#10;e4rvPt3l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rMEYXZAAAACgEAAA8AAAAAAAAAAQAgAAAA&#10;IgAAAGRycy9kb3ducmV2LnhtbFBLAQIUABQAAAAIAIdO4kAHrG/2CgIAAAIEAAAOAAAAAAAAAAEA&#10;IAAAACgBAABkcnMvZTJvRG9jLnhtbFBLBQYAAAAABgAGAFkBAACkBQAAAAA=&#10;">
                      <v:fill on="f" focussize="0,0"/>
                      <v:stroke color="#000000" joinstyle="round" endarrow="block"/>
                      <v:imagedata o:title=""/>
                      <o:lock v:ext="edit" aspectratio="f"/>
                    </v:line>
                  </w:pict>
                </mc:Fallback>
              </mc:AlternateContent>
            </w:r>
            <w:r>
              <w:rPr>
                <w:color w:val="000000" w:themeColor="text1"/>
                <w:sz w:val="21"/>
                <w:szCs w:val="21"/>
                <w:lang w:val="en-US"/>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4542790</wp:posOffset>
                      </wp:positionH>
                      <wp:positionV relativeFrom="paragraph">
                        <wp:posOffset>247650</wp:posOffset>
                      </wp:positionV>
                      <wp:extent cx="342900" cy="593725"/>
                      <wp:effectExtent l="0" t="0" r="0" b="0"/>
                      <wp:wrapNone/>
                      <wp:docPr id="3" name="文本框 28"/>
                      <wp:cNvGraphicFramePr/>
                      <a:graphic xmlns:a="http://schemas.openxmlformats.org/drawingml/2006/main">
                        <a:graphicData uri="http://schemas.microsoft.com/office/word/2010/wordprocessingShape">
                          <wps:wsp>
                            <wps:cNvSpPr txBox="1"/>
                            <wps:spPr>
                              <a:xfrm>
                                <a:off x="0" y="0"/>
                                <a:ext cx="342900" cy="593725"/>
                              </a:xfrm>
                              <a:prstGeom prst="rect">
                                <a:avLst/>
                              </a:prstGeom>
                              <a:noFill/>
                              <a:ln>
                                <a:noFill/>
                              </a:ln>
                              <a:effectLst/>
                            </wps:spPr>
                            <wps:txbx>
                              <w:txbxContent>
                                <w:p>
                                  <w:pPr>
                                    <w:ind w:firstLine="422"/>
                                    <w:rPr>
                                      <w:b/>
                                      <w:bCs/>
                                    </w:rPr>
                                  </w:pPr>
                                </w:p>
                              </w:txbxContent>
                            </wps:txbx>
                            <wps:bodyPr upright="1"/>
                          </wps:wsp>
                        </a:graphicData>
                      </a:graphic>
                    </wp:anchor>
                  </w:drawing>
                </mc:Choice>
                <mc:Fallback>
                  <w:pict>
                    <v:shape id="文本框 28" o:spid="_x0000_s1026" o:spt="202" type="#_x0000_t202" style="position:absolute;left:0pt;margin-left:357.7pt;margin-top:19.5pt;height:46.75pt;width:27pt;z-index:251661312;mso-width-relative:page;mso-height-relative:page;" filled="f" stroked="f" coordsize="21600,21600" o:gfxdata="UEsDBAoAAAAAAIdO4kAAAAAAAAAAAAAAAAAEAAAAZHJzL1BLAwQUAAAACACHTuJAYv/hPNcAAAAK&#10;AQAADwAAAGRycy9kb3ducmV2LnhtbE2PwU7DMAyG70i8Q2Qkbizptm60NN0BxJWJsSFxyxqvrWic&#10;qsnW8vZ4Jzja/vT7+4vN5DpxwSG0njQkMwUCqfK2pVrD/uP14RFEiIas6Tyhhh8MsClvbwqTWz/S&#10;O152sRYcQiE3GpoY+1zKUDXoTJj5HolvJz84E3kcamkHM3K46+RcqZV0piX+0Jgenxusvndnp+Hw&#10;dvr6XKpt/eLSfvSTkuQyqfX9XaKeQESc4h8MV31Wh5Kdjv5MNohOwzpJl4xqWGTciYH1KuPFkcnF&#10;PAVZFvJ/hfIXUEsDBBQAAAAIAIdO4kBwApI3sgEAAFwDAAAOAAAAZHJzL2Uyb0RvYy54bWytU8GO&#10;0zAQvSPxD5bv1NmUhd2o6UqoWi4IkHb5ANexG0u2x7LdJv0B+ANOXLjzXf0Oxk62LMtlD1yc8cz4&#10;zbw3k9XNaA05yBA1uJZeLCpKpBPQabdr6Zf721dXlMTEXccNONnSo4z0Zv3yxWrwjayhB9PJQBDE&#10;xWbwLe1T8g1jUfTS8rgALx0GFQTLE17DjnWBD4huDaur6g0bIHQ+gJAxonczBemMGJ4DCEppITcg&#10;9la6NKEGaXhCSrHXPtJ16VYpKdInpaJMxLQUmaZyYhG0t/lk6xVvdoH7Xou5Bf6cFp5wslw7LHqG&#10;2vDEyT7of6CsFgEiqLQQYNlEpCiCLC6qJ9rc9dzLwgWljv4sevx/sOLj4XMgumvpkhLHLQ789P3b&#10;6cev08+vpL7K+gw+Nph25zExje9gxK158Ed0ZtqjCjZ/kRDBOKp7PKsrx0QEOpev6+sKIwJDl9fL&#10;t/VlRmF/HvsQ03sJlmSjpQGHVzTlhw8xTakPKbmWg1ttTBmgcX85EHPyyLIB8+vMY+o3W2ncjjO5&#10;LXRH5Lb3Qe96LFzYsZyEopcO5wXJU318R/vxT7H+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L/&#10;4TzXAAAACgEAAA8AAAAAAAAAAQAgAAAAIgAAAGRycy9kb3ducmV2LnhtbFBLAQIUABQAAAAIAIdO&#10;4kBwApI3sgEAAFwDAAAOAAAAAAAAAAEAIAAAACYBAABkcnMvZTJvRG9jLnhtbFBLBQYAAAAABgAG&#10;AFkBAABKBQAAAAA=&#10;">
                      <v:fill on="f" focussize="0,0"/>
                      <v:stroke on="f"/>
                      <v:imagedata o:title=""/>
                      <o:lock v:ext="edit" aspectratio="f"/>
                      <v:textbox>
                        <w:txbxContent>
                          <w:p>
                            <w:pPr>
                              <w:ind w:firstLine="422"/>
                              <w:rPr>
                                <w:b/>
                                <w:bCs/>
                              </w:rPr>
                            </w:pPr>
                          </w:p>
                        </w:txbxContent>
                      </v:textbox>
                    </v:shape>
                  </w:pict>
                </mc:Fallback>
              </mc:AlternateContent>
            </w:r>
            <w:r>
              <w:rPr>
                <w:rFonts w:hint="eastAsia" w:cs="宋体"/>
                <w:b/>
                <w:bCs/>
                <w:color w:val="000000" w:themeColor="text1"/>
                <w:sz w:val="21"/>
                <w:szCs w:val="21"/>
                <w14:textFill>
                  <w14:solidFill>
                    <w14:schemeClr w14:val="tx1"/>
                  </w14:solidFill>
                </w14:textFill>
              </w:rPr>
              <w:t>现场踏勘图：</w:t>
            </w:r>
          </w:p>
        </w:tc>
      </w:tr>
    </w:tbl>
    <w:p>
      <w:pPr>
        <w:pStyle w:val="77"/>
        <w:ind w:firstLine="442"/>
        <w:rPr>
          <w:b/>
          <w:bCs/>
          <w:color w:val="000000" w:themeColor="text1"/>
          <w:sz w:val="22"/>
          <w:szCs w:val="22"/>
          <w14:textFill>
            <w14:solidFill>
              <w14:schemeClr w14:val="tx1"/>
            </w14:solidFill>
          </w14:textFill>
        </w:rPr>
      </w:pPr>
    </w:p>
    <w:p>
      <w:pPr>
        <w:pStyle w:val="77"/>
        <w:ind w:firstLine="442"/>
        <w:rPr>
          <w:rFonts w:cs="宋体"/>
          <w:b/>
          <w:bCs/>
          <w:color w:val="000000" w:themeColor="text1"/>
          <w:sz w:val="22"/>
          <w:szCs w:val="22"/>
          <w14:textFill>
            <w14:solidFill>
              <w14:schemeClr w14:val="tx1"/>
            </w14:solidFill>
          </w14:textFill>
        </w:rPr>
      </w:pPr>
      <w:r>
        <w:rPr>
          <w:rFonts w:hint="eastAsia" w:cs="宋体"/>
          <w:b/>
          <w:bCs/>
          <w:color w:val="000000" w:themeColor="text1"/>
          <w:sz w:val="22"/>
          <w:szCs w:val="22"/>
          <w14:textFill>
            <w14:solidFill>
              <w14:schemeClr w14:val="tx1"/>
            </w14:solidFill>
          </w14:textFill>
        </w:rPr>
        <w:t>填表人：</w:t>
      </w:r>
    </w:p>
    <w:p>
      <w:pPr>
        <w:pStyle w:val="77"/>
        <w:ind w:firstLine="442"/>
        <w:rPr>
          <w:b/>
          <w:bCs/>
          <w:color w:val="000000" w:themeColor="text1"/>
          <w:sz w:val="22"/>
          <w:szCs w:val="22"/>
          <w14:textFill>
            <w14:solidFill>
              <w14:schemeClr w14:val="tx1"/>
            </w14:solidFill>
          </w14:textFill>
        </w:rPr>
      </w:pPr>
      <w:r>
        <w:rPr>
          <w:rFonts w:hint="eastAsia" w:cs="宋体"/>
          <w:b/>
          <w:bCs/>
          <w:color w:val="000000" w:themeColor="text1"/>
          <w:sz w:val="22"/>
          <w:szCs w:val="22"/>
          <w14:textFill>
            <w14:solidFill>
              <w14:schemeClr w14:val="tx1"/>
            </w14:solidFill>
          </w14:textFill>
        </w:rPr>
        <w:t>时间：</w:t>
      </w:r>
    </w:p>
    <w:p>
      <w:pPr>
        <w:pStyle w:val="77"/>
        <w:ind w:firstLine="480"/>
        <w:rPr>
          <w:color w:val="000000" w:themeColor="text1"/>
          <w14:textFill>
            <w14:solidFill>
              <w14:schemeClr w14:val="tx1"/>
            </w14:solidFill>
          </w14:textFill>
        </w:rPr>
      </w:pPr>
    </w:p>
    <w:bookmarkEnd w:id="821"/>
    <w:bookmarkEnd w:id="822"/>
    <w:p>
      <w:pPr>
        <w:pStyle w:val="110"/>
        <w:spacing w:before="156" w:after="156"/>
        <w:rPr>
          <w:rFonts w:ascii="黑体" w:hAnsi="黑体" w:cs="黑体"/>
          <w:color w:val="000000" w:themeColor="text1"/>
          <w:sz w:val="24"/>
          <w:szCs w:val="24"/>
          <w14:textFill>
            <w14:solidFill>
              <w14:schemeClr w14:val="tx1"/>
            </w14:solidFill>
          </w14:textFill>
        </w:rPr>
      </w:pPr>
      <w:bookmarkStart w:id="847" w:name="_Toc14559"/>
      <w:bookmarkStart w:id="848" w:name="_Toc523220139"/>
      <w:bookmarkStart w:id="849" w:name="_Toc523219335"/>
      <w:bookmarkStart w:id="850" w:name="_Toc523223923"/>
      <w:bookmarkStart w:id="851" w:name="_Toc523223383"/>
      <w:bookmarkStart w:id="852" w:name="_Toc523219624"/>
      <w:bookmarkStart w:id="853" w:name="_Toc528234278"/>
      <w:bookmarkStart w:id="854" w:name="_Toc529453142"/>
      <w:bookmarkStart w:id="855" w:name="_Toc1281"/>
      <w:bookmarkStart w:id="856" w:name="_Toc21644"/>
      <w:bookmarkStart w:id="857" w:name="_Toc523153570"/>
      <w:bookmarkStart w:id="858" w:name="_Toc527026600"/>
      <w:bookmarkStart w:id="859" w:name="_Toc522893266"/>
      <w:bookmarkStart w:id="860" w:name="_Toc529453296"/>
      <w:bookmarkStart w:id="861" w:name="_Toc18227"/>
      <w:r>
        <w:rPr>
          <w:rFonts w:hint="eastAsia" w:cs="黑体"/>
          <w:color w:val="000000" w:themeColor="text1"/>
          <w:sz w:val="24"/>
          <w:szCs w:val="24"/>
          <w14:textFill>
            <w14:solidFill>
              <w14:schemeClr w14:val="tx1"/>
            </w14:solidFill>
          </w14:textFill>
        </w:rPr>
        <w:t>附件</w:t>
      </w:r>
      <w:bookmarkEnd w:id="847"/>
      <w:bookmarkStart w:id="862" w:name="_Toc385799965"/>
      <w:r>
        <w:rPr>
          <w:rFonts w:hint="eastAsia" w:cs="黑体"/>
          <w:color w:val="000000" w:themeColor="text1"/>
          <w:sz w:val="24"/>
          <w:szCs w:val="24"/>
          <w:lang w:val="en-US" w:eastAsia="zh-CN"/>
          <w14:textFill>
            <w14:solidFill>
              <w14:schemeClr w14:val="tx1"/>
            </w14:solidFill>
          </w14:textFill>
        </w:rPr>
        <w:t>5</w:t>
      </w:r>
      <w:r>
        <w:rPr>
          <w:rFonts w:hint="eastAsia"/>
          <w:color w:val="000000" w:themeColor="text1"/>
          <w:sz w:val="24"/>
          <w:szCs w:val="24"/>
          <w14:textFill>
            <w14:solidFill>
              <w14:schemeClr w14:val="tx1"/>
            </w14:solidFill>
          </w14:textFill>
        </w:rPr>
        <w:t>：</w:t>
      </w:r>
      <w:bookmarkEnd w:id="823"/>
      <w:bookmarkEnd w:id="848"/>
      <w:bookmarkEnd w:id="849"/>
      <w:bookmarkEnd w:id="850"/>
      <w:bookmarkEnd w:id="851"/>
      <w:bookmarkEnd w:id="852"/>
      <w:bookmarkEnd w:id="853"/>
      <w:bookmarkEnd w:id="854"/>
      <w:bookmarkEnd w:id="855"/>
      <w:bookmarkEnd w:id="856"/>
      <w:bookmarkEnd w:id="857"/>
      <w:bookmarkEnd w:id="858"/>
      <w:bookmarkEnd w:id="859"/>
      <w:bookmarkEnd w:id="860"/>
      <w:bookmarkEnd w:id="862"/>
      <w:r>
        <w:rPr>
          <w:rFonts w:hint="eastAsia" w:ascii="黑体" w:hAnsi="黑体" w:cs="黑体"/>
          <w:color w:val="000000" w:themeColor="text1"/>
          <w:sz w:val="24"/>
          <w:szCs w:val="24"/>
          <w14:textFill>
            <w14:solidFill>
              <w14:schemeClr w14:val="tx1"/>
            </w14:solidFill>
          </w14:textFill>
        </w:rPr>
        <w:t>城厢区集中式地表水饮用水水源地突发环境事件信息报送内容</w:t>
      </w:r>
      <w:bookmarkEnd w:id="861"/>
    </w:p>
    <w:tbl>
      <w:tblPr>
        <w:tblStyle w:val="39"/>
        <w:tblW w:w="85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64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142" w:type="dxa"/>
            <w:tcBorders>
              <w:tl2br w:val="nil"/>
              <w:tr2bl w:val="nil"/>
            </w:tcBorders>
            <w:vAlign w:val="center"/>
          </w:tcPr>
          <w:p>
            <w:pPr>
              <w:pStyle w:val="80"/>
              <w:rPr>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项目</w:t>
            </w:r>
          </w:p>
        </w:tc>
        <w:tc>
          <w:tcPr>
            <w:tcW w:w="6444" w:type="dxa"/>
            <w:tcBorders>
              <w:tl2br w:val="nil"/>
              <w:tr2bl w:val="nil"/>
            </w:tcBorders>
            <w:vAlign w:val="center"/>
          </w:tcPr>
          <w:p>
            <w:pPr>
              <w:pStyle w:val="80"/>
              <w:rPr>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142" w:type="dxa"/>
            <w:tcBorders>
              <w:tl2br w:val="nil"/>
              <w:tr2bl w:val="nil"/>
            </w:tcBorders>
            <w:vAlign w:val="center"/>
          </w:tcPr>
          <w:p>
            <w:pPr>
              <w:pStyle w:val="80"/>
              <w:rPr>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现场信息</w:t>
            </w:r>
          </w:p>
        </w:tc>
        <w:tc>
          <w:tcPr>
            <w:tcW w:w="6444" w:type="dxa"/>
            <w:tcBorders>
              <w:tl2br w:val="nil"/>
              <w:tr2bl w:val="nil"/>
            </w:tcBorders>
            <w:vAlign w:val="center"/>
          </w:tcPr>
          <w:p>
            <w:pPr>
              <w:pStyle w:val="80"/>
              <w:rPr>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报告时间；现场联系人、报告人及联系方式。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142" w:type="dxa"/>
            <w:tcBorders>
              <w:tl2br w:val="nil"/>
              <w:tr2bl w:val="nil"/>
            </w:tcBorders>
            <w:vAlign w:val="center"/>
          </w:tcPr>
          <w:p>
            <w:pPr>
              <w:pStyle w:val="80"/>
              <w:rPr>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事件基本信息</w:t>
            </w:r>
          </w:p>
        </w:tc>
        <w:tc>
          <w:tcPr>
            <w:tcW w:w="6444" w:type="dxa"/>
            <w:tcBorders>
              <w:tl2br w:val="nil"/>
              <w:tr2bl w:val="nil"/>
            </w:tcBorders>
            <w:vAlign w:val="center"/>
          </w:tcPr>
          <w:p>
            <w:pPr>
              <w:pStyle w:val="80"/>
              <w:jc w:val="both"/>
              <w:rPr>
                <w:color w:val="000000" w:themeColor="text1"/>
                <w14:textFill>
                  <w14:solidFill>
                    <w14:schemeClr w14:val="tx1"/>
                  </w14:solidFill>
                </w14:textFill>
              </w:rPr>
            </w:pPr>
            <w:r>
              <w:rPr>
                <w:rFonts w:hint="eastAsia" w:cs="宋体"/>
                <w:color w:val="000000" w:themeColor="text1"/>
                <w:kern w:val="0"/>
                <w14:textFill>
                  <w14:solidFill>
                    <w14:schemeClr w14:val="tx1"/>
                  </w14:solidFill>
                </w14:textFill>
              </w:rPr>
              <w:t>事件类型、发生地点、发生时间、污染源、泄漏数量、财产损失、人员伤亡、事故原因、事故进展。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142" w:type="dxa"/>
            <w:tcBorders>
              <w:tl2br w:val="nil"/>
              <w:tr2bl w:val="nil"/>
            </w:tcBorders>
            <w:vAlign w:val="center"/>
          </w:tcPr>
          <w:p>
            <w:pPr>
              <w:pStyle w:val="80"/>
              <w:rPr>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现场勘察情况</w:t>
            </w:r>
          </w:p>
        </w:tc>
        <w:tc>
          <w:tcPr>
            <w:tcW w:w="6444" w:type="dxa"/>
            <w:tcBorders>
              <w:tl2br w:val="nil"/>
              <w:tr2bl w:val="nil"/>
            </w:tcBorders>
            <w:vAlign w:val="center"/>
          </w:tcPr>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1.</w:t>
            </w:r>
            <w:r>
              <w:rPr>
                <w:rFonts w:hint="eastAsia" w:cs="宋体"/>
                <w:color w:val="000000" w:themeColor="text1"/>
                <w:kern w:val="0"/>
                <w14:textFill>
                  <w14:solidFill>
                    <w14:schemeClr w14:val="tx1"/>
                  </w14:solidFill>
                </w14:textFill>
              </w:rPr>
              <w:t>饮用水源地状况：分布情况（离事发地距离）、供水范围（每日供水量、影响人口量）；</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2.</w:t>
            </w:r>
            <w:r>
              <w:rPr>
                <w:rFonts w:hint="eastAsia" w:cs="宋体"/>
                <w:color w:val="000000" w:themeColor="text1"/>
                <w:kern w:val="0"/>
                <w14:textFill>
                  <w14:solidFill>
                    <w14:schemeClr w14:val="tx1"/>
                  </w14:solidFill>
                </w14:textFill>
              </w:rPr>
              <w:t>周边是否有居民点：离事发地距离；</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3.</w:t>
            </w:r>
            <w:r>
              <w:rPr>
                <w:rFonts w:hint="eastAsia" w:cs="宋体"/>
                <w:color w:val="000000" w:themeColor="text1"/>
                <w:kern w:val="0"/>
                <w14:textFill>
                  <w14:solidFill>
                    <w14:schemeClr w14:val="tx1"/>
                  </w14:solidFill>
                </w14:textFill>
              </w:rPr>
              <w:t>水文、气象条件：流速、风速。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142" w:type="dxa"/>
            <w:tcBorders>
              <w:tl2br w:val="nil"/>
              <w:tr2bl w:val="nil"/>
            </w:tcBorders>
            <w:vAlign w:val="center"/>
          </w:tcPr>
          <w:p>
            <w:pPr>
              <w:pStyle w:val="80"/>
              <w:rPr>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现场监测情况</w:t>
            </w:r>
          </w:p>
        </w:tc>
        <w:tc>
          <w:tcPr>
            <w:tcW w:w="6444" w:type="dxa"/>
            <w:tcBorders>
              <w:tl2br w:val="nil"/>
              <w:tr2bl w:val="nil"/>
            </w:tcBorders>
            <w:vAlign w:val="center"/>
          </w:tcPr>
          <w:p>
            <w:pPr>
              <w:pStyle w:val="80"/>
              <w:rPr>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监测报告、监测点位图（关键点位离事发地及敏感区域距离）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142" w:type="dxa"/>
            <w:tcBorders>
              <w:tl2br w:val="nil"/>
              <w:tr2bl w:val="nil"/>
            </w:tcBorders>
            <w:vAlign w:val="center"/>
          </w:tcPr>
          <w:p>
            <w:pPr>
              <w:pStyle w:val="80"/>
              <w:rPr>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应急处置措施</w:t>
            </w:r>
          </w:p>
        </w:tc>
        <w:tc>
          <w:tcPr>
            <w:tcW w:w="6444" w:type="dxa"/>
            <w:tcBorders>
              <w:tl2br w:val="nil"/>
              <w:tr2bl w:val="nil"/>
            </w:tcBorders>
            <w:vAlign w:val="center"/>
          </w:tcPr>
          <w:p>
            <w:pPr>
              <w:pStyle w:val="80"/>
              <w:rPr>
                <w:color w:val="000000" w:themeColor="text1"/>
                <w:kern w:val="0"/>
                <w14:textFill>
                  <w14:solidFill>
                    <w14:schemeClr w14:val="tx1"/>
                  </w14:solidFill>
                </w14:textFill>
              </w:rPr>
            </w:pPr>
            <w:r>
              <w:rPr>
                <w:rFonts w:hint="eastAsia" w:cs="宋体"/>
                <w:color w:val="000000" w:themeColor="text1"/>
                <w:kern w:val="0"/>
                <w14:textFill>
                  <w14:solidFill>
                    <w14:schemeClr w14:val="tx1"/>
                  </w14:solidFill>
                </w14:textFill>
              </w:rPr>
              <w:t>政府和生态环境部门采取的措施</w:t>
            </w:r>
          </w:p>
        </w:tc>
      </w:tr>
    </w:tbl>
    <w:p>
      <w:pPr>
        <w:spacing w:line="360" w:lineRule="auto"/>
        <w:ind w:left="2183" w:right="1695"/>
        <w:jc w:val="center"/>
        <w:rPr>
          <w:b/>
          <w:color w:val="000000" w:themeColor="text1"/>
          <w14:textFill>
            <w14:solidFill>
              <w14:schemeClr w14:val="tx1"/>
            </w14:solidFill>
          </w14:textFill>
        </w:rPr>
      </w:pPr>
      <w:bookmarkStart w:id="863" w:name="_Toc15854"/>
      <w:bookmarkStart w:id="864" w:name="_Toc522893267"/>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r>
        <w:rPr>
          <w:b/>
          <w:color w:val="000000" w:themeColor="text1"/>
          <w14:textFill>
            <w14:solidFill>
              <w14:schemeClr w14:val="tx1"/>
            </w14:solidFill>
          </w14:textFill>
        </w:rPr>
        <w:t>事故报告表（初报）</w:t>
      </w:r>
    </w:p>
    <w:tbl>
      <w:tblPr>
        <w:tblStyle w:val="39"/>
        <w:tblW w:w="862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448"/>
        <w:gridCol w:w="1137"/>
        <w:gridCol w:w="1272"/>
        <w:gridCol w:w="998"/>
        <w:gridCol w:w="1553"/>
        <w:gridCol w:w="121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2448" w:type="dxa"/>
            <w:tcBorders>
              <w:tl2br w:val="nil"/>
              <w:tr2bl w:val="nil"/>
            </w:tcBorders>
            <w:shd w:val="clear" w:color="auto" w:fill="CCFFFF"/>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水源地名称</w:t>
            </w:r>
          </w:p>
        </w:tc>
        <w:tc>
          <w:tcPr>
            <w:tcW w:w="1137" w:type="dxa"/>
            <w:tcBorders>
              <w:tl2br w:val="nil"/>
              <w:tr2bl w:val="nil"/>
            </w:tcBorders>
            <w:shd w:val="clear" w:color="auto" w:fill="CCFFFF"/>
            <w:vAlign w:val="center"/>
          </w:tcPr>
          <w:p>
            <w:pPr>
              <w:spacing w:line="300" w:lineRule="exact"/>
              <w:jc w:val="center"/>
              <w:rPr>
                <w:color w:val="000000" w:themeColor="text1"/>
                <w:kern w:val="0"/>
                <w:szCs w:val="20"/>
                <w14:textFill>
                  <w14:solidFill>
                    <w14:schemeClr w14:val="tx1"/>
                  </w14:solidFill>
                </w14:textFill>
              </w:rPr>
            </w:pPr>
          </w:p>
        </w:tc>
        <w:tc>
          <w:tcPr>
            <w:tcW w:w="1272" w:type="dxa"/>
            <w:tcBorders>
              <w:tl2br w:val="nil"/>
              <w:tr2bl w:val="nil"/>
            </w:tcBorders>
            <w:shd w:val="clear" w:color="auto" w:fill="CCFFFF"/>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事故发现人</w:t>
            </w:r>
          </w:p>
        </w:tc>
        <w:tc>
          <w:tcPr>
            <w:tcW w:w="998" w:type="dxa"/>
            <w:tcBorders>
              <w:tl2br w:val="nil"/>
              <w:tr2bl w:val="nil"/>
            </w:tcBorders>
            <w:shd w:val="clear" w:color="auto" w:fill="CCFFFF"/>
            <w:vAlign w:val="center"/>
          </w:tcPr>
          <w:p>
            <w:pPr>
              <w:spacing w:line="300" w:lineRule="exact"/>
              <w:jc w:val="center"/>
              <w:rPr>
                <w:color w:val="000000" w:themeColor="text1"/>
                <w:kern w:val="0"/>
                <w:szCs w:val="20"/>
                <w14:textFill>
                  <w14:solidFill>
                    <w14:schemeClr w14:val="tx1"/>
                  </w14:solidFill>
                </w14:textFill>
              </w:rPr>
            </w:pPr>
          </w:p>
        </w:tc>
        <w:tc>
          <w:tcPr>
            <w:tcW w:w="1553" w:type="dxa"/>
            <w:tcBorders>
              <w:tl2br w:val="nil"/>
              <w:tr2bl w:val="nil"/>
            </w:tcBorders>
            <w:shd w:val="clear" w:color="auto" w:fill="CCFFFF"/>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联系电话</w:t>
            </w:r>
          </w:p>
        </w:tc>
        <w:tc>
          <w:tcPr>
            <w:tcW w:w="1214" w:type="dxa"/>
            <w:tcBorders>
              <w:tl2br w:val="nil"/>
              <w:tr2bl w:val="nil"/>
            </w:tcBorders>
            <w:shd w:val="clear" w:color="auto" w:fill="CCFFFF"/>
            <w:vAlign w:val="center"/>
          </w:tcPr>
          <w:p>
            <w:pPr>
              <w:spacing w:line="300" w:lineRule="exact"/>
              <w:jc w:val="center"/>
              <w:rPr>
                <w:color w:val="000000" w:themeColor="text1"/>
                <w:kern w:val="0"/>
                <w:szCs w:val="2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2448"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地点</w:t>
            </w:r>
          </w:p>
        </w:tc>
        <w:tc>
          <w:tcPr>
            <w:tcW w:w="1137"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p>
        </w:tc>
        <w:tc>
          <w:tcPr>
            <w:tcW w:w="1272"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时间</w:t>
            </w:r>
          </w:p>
        </w:tc>
        <w:tc>
          <w:tcPr>
            <w:tcW w:w="998"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p>
        </w:tc>
        <w:tc>
          <w:tcPr>
            <w:tcW w:w="1553"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污染源</w:t>
            </w:r>
          </w:p>
        </w:tc>
        <w:tc>
          <w:tcPr>
            <w:tcW w:w="1214"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2448"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主要污染物质</w:t>
            </w:r>
          </w:p>
        </w:tc>
        <w:tc>
          <w:tcPr>
            <w:tcW w:w="3407" w:type="dxa"/>
            <w:gridSpan w:val="3"/>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p>
        </w:tc>
        <w:tc>
          <w:tcPr>
            <w:tcW w:w="1553"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人员受伤情况</w:t>
            </w:r>
          </w:p>
        </w:tc>
        <w:tc>
          <w:tcPr>
            <w:tcW w:w="1214"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2448"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事故潜在的危害程度</w:t>
            </w:r>
          </w:p>
        </w:tc>
        <w:tc>
          <w:tcPr>
            <w:tcW w:w="6174" w:type="dxa"/>
            <w:gridSpan w:val="5"/>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2448"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事故处理情况描述</w:t>
            </w:r>
          </w:p>
        </w:tc>
        <w:tc>
          <w:tcPr>
            <w:tcW w:w="6174" w:type="dxa"/>
            <w:gridSpan w:val="5"/>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2448"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报告人</w:t>
            </w:r>
          </w:p>
        </w:tc>
        <w:tc>
          <w:tcPr>
            <w:tcW w:w="1137"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p>
        </w:tc>
        <w:tc>
          <w:tcPr>
            <w:tcW w:w="1272"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审核</w:t>
            </w:r>
          </w:p>
        </w:tc>
        <w:tc>
          <w:tcPr>
            <w:tcW w:w="998"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p>
        </w:tc>
        <w:tc>
          <w:tcPr>
            <w:tcW w:w="1553"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报告时间</w:t>
            </w:r>
          </w:p>
        </w:tc>
        <w:tc>
          <w:tcPr>
            <w:tcW w:w="1214" w:type="dxa"/>
            <w:tcBorders>
              <w:tl2br w:val="nil"/>
              <w:tr2bl w:val="nil"/>
            </w:tcBorders>
            <w:vAlign w:val="center"/>
          </w:tcPr>
          <w:p>
            <w:pPr>
              <w:spacing w:line="300" w:lineRule="exact"/>
              <w:jc w:val="center"/>
              <w:rPr>
                <w:color w:val="000000" w:themeColor="text1"/>
                <w:kern w:val="0"/>
                <w:szCs w:val="20"/>
                <w14:textFill>
                  <w14:solidFill>
                    <w14:schemeClr w14:val="tx1"/>
                  </w14:solidFill>
                </w14:textFill>
              </w:rPr>
            </w:pPr>
          </w:p>
        </w:tc>
      </w:tr>
    </w:tbl>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p>
    <w:p>
      <w:pPr>
        <w:spacing w:line="360" w:lineRule="auto"/>
        <w:ind w:left="2183" w:right="1695"/>
        <w:jc w:val="center"/>
        <w:rPr>
          <w:b/>
          <w:color w:val="000000" w:themeColor="text1"/>
          <w14:textFill>
            <w14:solidFill>
              <w14:schemeClr w14:val="tx1"/>
            </w14:solidFill>
          </w14:textFill>
        </w:rPr>
      </w:pPr>
      <w:r>
        <w:rPr>
          <w:b/>
          <w:color w:val="000000" w:themeColor="text1"/>
          <w14:textFill>
            <w14:solidFill>
              <w14:schemeClr w14:val="tx1"/>
            </w14:solidFill>
          </w14:textFill>
        </w:rPr>
        <w:t>事故报告表（确报）</w:t>
      </w:r>
    </w:p>
    <w:tbl>
      <w:tblPr>
        <w:tblStyle w:val="39"/>
        <w:tblW w:w="862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448"/>
        <w:gridCol w:w="1137"/>
        <w:gridCol w:w="1272"/>
        <w:gridCol w:w="998"/>
        <w:gridCol w:w="1553"/>
        <w:gridCol w:w="121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80" w:hRule="atLeast"/>
          <w:jc w:val="center"/>
        </w:trPr>
        <w:tc>
          <w:tcPr>
            <w:tcW w:w="2448" w:type="dxa"/>
            <w:tcBorders>
              <w:bottom w:val="single" w:color="000000" w:sz="4" w:space="0"/>
              <w:right w:val="single" w:color="000000" w:sz="4" w:space="0"/>
            </w:tcBorders>
            <w:shd w:val="clear" w:color="auto" w:fill="CCFFFF"/>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水源地名称</w:t>
            </w:r>
          </w:p>
        </w:tc>
        <w:tc>
          <w:tcPr>
            <w:tcW w:w="1137" w:type="dxa"/>
            <w:tcBorders>
              <w:left w:val="single" w:color="000000" w:sz="4" w:space="0"/>
              <w:bottom w:val="single" w:color="000000" w:sz="4" w:space="0"/>
              <w:right w:val="single" w:color="000000" w:sz="4" w:space="0"/>
            </w:tcBorders>
            <w:shd w:val="clear" w:color="auto" w:fill="CCFFFF"/>
            <w:vAlign w:val="center"/>
          </w:tcPr>
          <w:p>
            <w:pPr>
              <w:spacing w:line="300" w:lineRule="exact"/>
              <w:jc w:val="center"/>
              <w:rPr>
                <w:color w:val="000000" w:themeColor="text1"/>
                <w:kern w:val="0"/>
                <w:szCs w:val="20"/>
                <w14:textFill>
                  <w14:solidFill>
                    <w14:schemeClr w14:val="tx1"/>
                  </w14:solidFill>
                </w14:textFill>
              </w:rPr>
            </w:pPr>
          </w:p>
        </w:tc>
        <w:tc>
          <w:tcPr>
            <w:tcW w:w="1272" w:type="dxa"/>
            <w:tcBorders>
              <w:left w:val="single" w:color="000000" w:sz="4" w:space="0"/>
              <w:bottom w:val="single" w:color="000000" w:sz="4" w:space="0"/>
              <w:right w:val="single" w:color="000000" w:sz="4" w:space="0"/>
            </w:tcBorders>
            <w:shd w:val="clear" w:color="auto" w:fill="CCFFFF"/>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事故发现人</w:t>
            </w:r>
          </w:p>
        </w:tc>
        <w:tc>
          <w:tcPr>
            <w:tcW w:w="998" w:type="dxa"/>
            <w:tcBorders>
              <w:left w:val="single" w:color="000000" w:sz="4" w:space="0"/>
              <w:bottom w:val="single" w:color="000000" w:sz="4" w:space="0"/>
              <w:right w:val="single" w:color="000000" w:sz="4" w:space="0"/>
            </w:tcBorders>
            <w:shd w:val="clear" w:color="auto" w:fill="CCFFFF"/>
            <w:vAlign w:val="center"/>
          </w:tcPr>
          <w:p>
            <w:pPr>
              <w:spacing w:line="300" w:lineRule="exact"/>
              <w:jc w:val="center"/>
              <w:rPr>
                <w:color w:val="000000" w:themeColor="text1"/>
                <w:kern w:val="0"/>
                <w:szCs w:val="20"/>
                <w14:textFill>
                  <w14:solidFill>
                    <w14:schemeClr w14:val="tx1"/>
                  </w14:solidFill>
                </w14:textFill>
              </w:rPr>
            </w:pPr>
          </w:p>
        </w:tc>
        <w:tc>
          <w:tcPr>
            <w:tcW w:w="1553" w:type="dxa"/>
            <w:tcBorders>
              <w:left w:val="single" w:color="000000" w:sz="4" w:space="0"/>
              <w:bottom w:val="single" w:color="000000" w:sz="4" w:space="0"/>
              <w:right w:val="single" w:color="000000" w:sz="4" w:space="0"/>
            </w:tcBorders>
            <w:shd w:val="clear" w:color="auto" w:fill="CCFFFF"/>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联系电话</w:t>
            </w:r>
          </w:p>
        </w:tc>
        <w:tc>
          <w:tcPr>
            <w:tcW w:w="1214" w:type="dxa"/>
            <w:tcBorders>
              <w:left w:val="single" w:color="000000" w:sz="4" w:space="0"/>
              <w:bottom w:val="single" w:color="000000" w:sz="4" w:space="0"/>
            </w:tcBorders>
            <w:shd w:val="clear" w:color="auto" w:fill="CCFFFF"/>
            <w:vAlign w:val="center"/>
          </w:tcPr>
          <w:p>
            <w:pPr>
              <w:spacing w:line="300" w:lineRule="exact"/>
              <w:jc w:val="center"/>
              <w:rPr>
                <w:color w:val="000000" w:themeColor="text1"/>
                <w:kern w:val="0"/>
                <w:szCs w:val="2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0" w:hRule="atLeast"/>
          <w:jc w:val="center"/>
        </w:trPr>
        <w:tc>
          <w:tcPr>
            <w:tcW w:w="2448" w:type="dxa"/>
            <w:tcBorders>
              <w:top w:val="single" w:color="000000" w:sz="4" w:space="0"/>
              <w:bottom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地点</w:t>
            </w:r>
          </w:p>
        </w:tc>
        <w:tc>
          <w:tcPr>
            <w:tcW w:w="1137"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时间</w:t>
            </w:r>
          </w:p>
        </w:tc>
        <w:tc>
          <w:tcPr>
            <w:tcW w:w="998"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p>
        </w:tc>
        <w:tc>
          <w:tcPr>
            <w:tcW w:w="15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污染源</w:t>
            </w:r>
          </w:p>
        </w:tc>
        <w:tc>
          <w:tcPr>
            <w:tcW w:w="1214" w:type="dxa"/>
            <w:tcBorders>
              <w:top w:val="single" w:color="000000" w:sz="4" w:space="0"/>
              <w:left w:val="single" w:color="000000" w:sz="4" w:space="0"/>
              <w:bottom w:val="single" w:color="000000" w:sz="4" w:space="0"/>
            </w:tcBorders>
            <w:vAlign w:val="center"/>
          </w:tcPr>
          <w:p>
            <w:pPr>
              <w:spacing w:line="300" w:lineRule="exact"/>
              <w:jc w:val="center"/>
              <w:rPr>
                <w:color w:val="000000" w:themeColor="text1"/>
                <w:kern w:val="0"/>
                <w:szCs w:val="2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0" w:hRule="atLeast"/>
          <w:jc w:val="center"/>
        </w:trPr>
        <w:tc>
          <w:tcPr>
            <w:tcW w:w="2448" w:type="dxa"/>
            <w:tcBorders>
              <w:top w:val="single" w:color="000000" w:sz="4" w:space="0"/>
              <w:bottom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主要污染物质</w:t>
            </w:r>
          </w:p>
        </w:tc>
        <w:tc>
          <w:tcPr>
            <w:tcW w:w="3407" w:type="dxa"/>
            <w:gridSpan w:val="3"/>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p>
        </w:tc>
        <w:tc>
          <w:tcPr>
            <w:tcW w:w="1553"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人员受伤情况</w:t>
            </w:r>
          </w:p>
        </w:tc>
        <w:tc>
          <w:tcPr>
            <w:tcW w:w="1214" w:type="dxa"/>
            <w:tcBorders>
              <w:top w:val="single" w:color="000000" w:sz="4" w:space="0"/>
              <w:left w:val="single" w:color="000000" w:sz="4" w:space="0"/>
              <w:bottom w:val="single" w:color="000000" w:sz="4" w:space="0"/>
            </w:tcBorders>
            <w:vAlign w:val="center"/>
          </w:tcPr>
          <w:p>
            <w:pPr>
              <w:spacing w:line="300" w:lineRule="exact"/>
              <w:jc w:val="center"/>
              <w:rPr>
                <w:color w:val="000000" w:themeColor="text1"/>
                <w:kern w:val="0"/>
                <w:szCs w:val="2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0" w:hRule="atLeast"/>
          <w:jc w:val="center"/>
        </w:trPr>
        <w:tc>
          <w:tcPr>
            <w:tcW w:w="2448" w:type="dxa"/>
            <w:tcBorders>
              <w:top w:val="single" w:color="000000" w:sz="4" w:space="0"/>
              <w:bottom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事故潜在的危害程度</w:t>
            </w:r>
          </w:p>
        </w:tc>
        <w:tc>
          <w:tcPr>
            <w:tcW w:w="6174" w:type="dxa"/>
            <w:gridSpan w:val="5"/>
            <w:tcBorders>
              <w:top w:val="single" w:color="000000" w:sz="4" w:space="0"/>
              <w:left w:val="single" w:color="000000" w:sz="4" w:space="0"/>
              <w:bottom w:val="single" w:color="000000" w:sz="4" w:space="0"/>
            </w:tcBorders>
            <w:vAlign w:val="center"/>
          </w:tcPr>
          <w:p>
            <w:pPr>
              <w:spacing w:line="300" w:lineRule="exact"/>
              <w:jc w:val="center"/>
              <w:rPr>
                <w:color w:val="000000" w:themeColor="text1"/>
                <w:kern w:val="0"/>
                <w:szCs w:val="2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80" w:hRule="atLeast"/>
          <w:jc w:val="center"/>
        </w:trPr>
        <w:tc>
          <w:tcPr>
            <w:tcW w:w="2448" w:type="dxa"/>
            <w:tcBorders>
              <w:top w:val="single" w:color="000000" w:sz="4" w:space="0"/>
              <w:bottom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事故处理情况简述</w:t>
            </w:r>
          </w:p>
        </w:tc>
        <w:tc>
          <w:tcPr>
            <w:tcW w:w="6174" w:type="dxa"/>
            <w:gridSpan w:val="5"/>
            <w:tcBorders>
              <w:top w:val="single" w:color="000000" w:sz="4" w:space="0"/>
              <w:left w:val="single" w:color="000000" w:sz="4" w:space="0"/>
              <w:bottom w:val="single" w:color="000000" w:sz="4" w:space="0"/>
            </w:tcBorders>
            <w:vAlign w:val="center"/>
          </w:tcPr>
          <w:p>
            <w:pPr>
              <w:spacing w:line="300" w:lineRule="exact"/>
              <w:jc w:val="center"/>
              <w:rPr>
                <w:color w:val="000000" w:themeColor="text1"/>
                <w:kern w:val="0"/>
                <w:szCs w:val="2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0" w:hRule="atLeast"/>
          <w:jc w:val="center"/>
        </w:trPr>
        <w:tc>
          <w:tcPr>
            <w:tcW w:w="2448" w:type="dxa"/>
            <w:tcBorders>
              <w:top w:val="single" w:color="000000" w:sz="4" w:space="0"/>
              <w:bottom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处置进展情况简述</w:t>
            </w:r>
          </w:p>
        </w:tc>
        <w:tc>
          <w:tcPr>
            <w:tcW w:w="6174" w:type="dxa"/>
            <w:gridSpan w:val="5"/>
            <w:tcBorders>
              <w:top w:val="single" w:color="000000" w:sz="4" w:space="0"/>
              <w:left w:val="single" w:color="000000" w:sz="4" w:space="0"/>
              <w:bottom w:val="single" w:color="000000" w:sz="4" w:space="0"/>
            </w:tcBorders>
            <w:vAlign w:val="center"/>
          </w:tcPr>
          <w:p>
            <w:pPr>
              <w:spacing w:line="300" w:lineRule="exact"/>
              <w:jc w:val="center"/>
              <w:rPr>
                <w:color w:val="000000" w:themeColor="text1"/>
                <w:kern w:val="0"/>
                <w:szCs w:val="2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80" w:hRule="atLeast"/>
          <w:jc w:val="center"/>
        </w:trPr>
        <w:tc>
          <w:tcPr>
            <w:tcW w:w="2448" w:type="dxa"/>
            <w:tcBorders>
              <w:top w:val="single" w:color="000000" w:sz="4" w:space="0"/>
              <w:bottom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事故对环境影响程度</w:t>
            </w:r>
          </w:p>
        </w:tc>
        <w:tc>
          <w:tcPr>
            <w:tcW w:w="6174" w:type="dxa"/>
            <w:gridSpan w:val="5"/>
            <w:tcBorders>
              <w:top w:val="single" w:color="000000" w:sz="4" w:space="0"/>
              <w:left w:val="single" w:color="000000" w:sz="4" w:space="0"/>
              <w:bottom w:val="single" w:color="000000" w:sz="4" w:space="0"/>
            </w:tcBorders>
            <w:vAlign w:val="center"/>
          </w:tcPr>
          <w:p>
            <w:pPr>
              <w:spacing w:line="300" w:lineRule="exact"/>
              <w:jc w:val="center"/>
              <w:rPr>
                <w:color w:val="000000" w:themeColor="text1"/>
                <w:kern w:val="0"/>
                <w:szCs w:val="2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0" w:hRule="atLeast"/>
          <w:jc w:val="center"/>
        </w:trPr>
        <w:tc>
          <w:tcPr>
            <w:tcW w:w="2448" w:type="dxa"/>
            <w:tcBorders>
              <w:top w:val="single" w:color="000000" w:sz="4" w:space="0"/>
              <w:bottom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采取应急措施简述</w:t>
            </w:r>
          </w:p>
        </w:tc>
        <w:tc>
          <w:tcPr>
            <w:tcW w:w="6174" w:type="dxa"/>
            <w:gridSpan w:val="5"/>
            <w:tcBorders>
              <w:top w:val="single" w:color="000000" w:sz="4" w:space="0"/>
              <w:left w:val="single" w:color="000000" w:sz="4" w:space="0"/>
              <w:bottom w:val="single" w:color="000000" w:sz="4" w:space="0"/>
            </w:tcBorders>
            <w:vAlign w:val="center"/>
          </w:tcPr>
          <w:p>
            <w:pPr>
              <w:spacing w:line="300" w:lineRule="exact"/>
              <w:jc w:val="center"/>
              <w:rPr>
                <w:color w:val="000000" w:themeColor="text1"/>
                <w:kern w:val="0"/>
                <w:szCs w:val="2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80" w:hRule="atLeast"/>
          <w:jc w:val="center"/>
        </w:trPr>
        <w:tc>
          <w:tcPr>
            <w:tcW w:w="2448" w:type="dxa"/>
            <w:tcBorders>
              <w:top w:val="single" w:color="000000" w:sz="4" w:space="0"/>
              <w:bottom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措施效果简述</w:t>
            </w:r>
          </w:p>
        </w:tc>
        <w:tc>
          <w:tcPr>
            <w:tcW w:w="6174" w:type="dxa"/>
            <w:gridSpan w:val="5"/>
            <w:tcBorders>
              <w:top w:val="single" w:color="000000" w:sz="4" w:space="0"/>
              <w:left w:val="single" w:color="000000" w:sz="4" w:space="0"/>
              <w:bottom w:val="single" w:color="000000" w:sz="4" w:space="0"/>
            </w:tcBorders>
            <w:vAlign w:val="center"/>
          </w:tcPr>
          <w:p>
            <w:pPr>
              <w:spacing w:line="300" w:lineRule="exact"/>
              <w:jc w:val="center"/>
              <w:rPr>
                <w:color w:val="000000" w:themeColor="text1"/>
                <w:kern w:val="0"/>
                <w:szCs w:val="2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0" w:hRule="atLeast"/>
          <w:jc w:val="center"/>
        </w:trPr>
        <w:tc>
          <w:tcPr>
            <w:tcW w:w="2448" w:type="dxa"/>
            <w:tcBorders>
              <w:top w:val="single" w:color="000000" w:sz="4" w:space="0"/>
              <w:bottom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处置效果简述</w:t>
            </w:r>
          </w:p>
        </w:tc>
        <w:tc>
          <w:tcPr>
            <w:tcW w:w="6174" w:type="dxa"/>
            <w:gridSpan w:val="5"/>
            <w:tcBorders>
              <w:top w:val="single" w:color="000000" w:sz="4" w:space="0"/>
              <w:left w:val="single" w:color="000000" w:sz="4" w:space="0"/>
              <w:bottom w:val="single" w:color="000000" w:sz="4" w:space="0"/>
            </w:tcBorders>
            <w:vAlign w:val="center"/>
          </w:tcPr>
          <w:p>
            <w:pPr>
              <w:spacing w:line="300" w:lineRule="exact"/>
              <w:jc w:val="center"/>
              <w:rPr>
                <w:color w:val="000000" w:themeColor="text1"/>
                <w:kern w:val="0"/>
                <w:szCs w:val="20"/>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380" w:hRule="atLeast"/>
          <w:jc w:val="center"/>
        </w:trPr>
        <w:tc>
          <w:tcPr>
            <w:tcW w:w="2448" w:type="dxa"/>
            <w:tcBorders>
              <w:top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报告人</w:t>
            </w:r>
          </w:p>
        </w:tc>
        <w:tc>
          <w:tcPr>
            <w:tcW w:w="1137" w:type="dxa"/>
            <w:tcBorders>
              <w:top w:val="single" w:color="000000" w:sz="4" w:space="0"/>
              <w:left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p>
        </w:tc>
        <w:tc>
          <w:tcPr>
            <w:tcW w:w="1272" w:type="dxa"/>
            <w:tcBorders>
              <w:top w:val="single" w:color="000000" w:sz="4" w:space="0"/>
              <w:left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报告人审核</w:t>
            </w:r>
          </w:p>
        </w:tc>
        <w:tc>
          <w:tcPr>
            <w:tcW w:w="998" w:type="dxa"/>
            <w:tcBorders>
              <w:top w:val="single" w:color="000000" w:sz="4" w:space="0"/>
              <w:left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p>
        </w:tc>
        <w:tc>
          <w:tcPr>
            <w:tcW w:w="1553" w:type="dxa"/>
            <w:tcBorders>
              <w:top w:val="single" w:color="000000" w:sz="4" w:space="0"/>
              <w:left w:val="single" w:color="000000" w:sz="4" w:space="0"/>
              <w:righ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r>
              <w:rPr>
                <w:color w:val="000000" w:themeColor="text1"/>
                <w:kern w:val="0"/>
                <w:szCs w:val="20"/>
                <w14:textFill>
                  <w14:solidFill>
                    <w14:schemeClr w14:val="tx1"/>
                  </w14:solidFill>
                </w14:textFill>
              </w:rPr>
              <w:t>报告时间</w:t>
            </w:r>
          </w:p>
        </w:tc>
        <w:tc>
          <w:tcPr>
            <w:tcW w:w="1214" w:type="dxa"/>
            <w:tcBorders>
              <w:top w:val="single" w:color="000000" w:sz="4" w:space="0"/>
              <w:left w:val="single" w:color="000000" w:sz="4" w:space="0"/>
            </w:tcBorders>
            <w:vAlign w:val="center"/>
          </w:tcPr>
          <w:p>
            <w:pPr>
              <w:spacing w:line="300" w:lineRule="exact"/>
              <w:jc w:val="center"/>
              <w:rPr>
                <w:color w:val="000000" w:themeColor="text1"/>
                <w:kern w:val="0"/>
                <w:szCs w:val="20"/>
                <w14:textFill>
                  <w14:solidFill>
                    <w14:schemeClr w14:val="tx1"/>
                  </w14:solidFill>
                </w14:textFill>
              </w:rPr>
            </w:pPr>
          </w:p>
        </w:tc>
      </w:tr>
    </w:tbl>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480"/>
        <w:rPr>
          <w:color w:val="000000" w:themeColor="text1"/>
          <w14:textFill>
            <w14:solidFill>
              <w14:schemeClr w14:val="tx1"/>
            </w14:solidFill>
          </w14:textFill>
        </w:rPr>
      </w:pPr>
    </w:p>
    <w:p>
      <w:pPr>
        <w:pStyle w:val="77"/>
        <w:ind w:firstLine="0" w:firstLineChars="0"/>
        <w:rPr>
          <w:color w:val="000000" w:themeColor="text1"/>
          <w14:textFill>
            <w14:solidFill>
              <w14:schemeClr w14:val="tx1"/>
            </w14:solidFill>
          </w14:textFill>
        </w:rPr>
      </w:pPr>
    </w:p>
    <w:p>
      <w:pPr>
        <w:pStyle w:val="110"/>
        <w:spacing w:before="156" w:after="156"/>
        <w:rPr>
          <w:rFonts w:ascii="黑体" w:hAnsi="黑体" w:cs="黑体"/>
          <w:color w:val="000000" w:themeColor="text1"/>
          <w:sz w:val="24"/>
          <w:szCs w:val="24"/>
          <w14:textFill>
            <w14:solidFill>
              <w14:schemeClr w14:val="tx1"/>
            </w14:solidFill>
          </w14:textFill>
        </w:rPr>
      </w:pPr>
      <w:bookmarkStart w:id="865" w:name="_Toc1366"/>
      <w:bookmarkStart w:id="866" w:name="_Toc16204"/>
      <w:r>
        <w:rPr>
          <w:rFonts w:hint="eastAsia" w:cs="黑体"/>
          <w:color w:val="000000" w:themeColor="text1"/>
          <w:sz w:val="24"/>
          <w:szCs w:val="24"/>
          <w14:textFill>
            <w14:solidFill>
              <w14:schemeClr w14:val="tx1"/>
            </w14:solidFill>
          </w14:textFill>
        </w:rPr>
        <w:t>附件</w:t>
      </w:r>
      <w:bookmarkEnd w:id="865"/>
      <w:r>
        <w:rPr>
          <w:rFonts w:hint="eastAsia" w:cs="黑体"/>
          <w:color w:val="000000" w:themeColor="text1"/>
          <w:sz w:val="24"/>
          <w:szCs w:val="24"/>
          <w:lang w:val="en-US" w:eastAsia="zh-CN"/>
          <w14:textFill>
            <w14:solidFill>
              <w14:schemeClr w14:val="tx1"/>
            </w14:solidFill>
          </w14:textFill>
        </w:rPr>
        <w:t>6</w:t>
      </w:r>
      <w:r>
        <w:rPr>
          <w:rFonts w:hint="eastAsia"/>
          <w:color w:val="000000" w:themeColor="text1"/>
          <w:sz w:val="24"/>
          <w:szCs w:val="24"/>
          <w14:textFill>
            <w14:solidFill>
              <w14:schemeClr w14:val="tx1"/>
            </w14:solidFill>
          </w14:textFill>
        </w:rPr>
        <w:t>：</w:t>
      </w:r>
      <w:r>
        <w:rPr>
          <w:rFonts w:hint="eastAsia" w:ascii="黑体" w:hAnsi="黑体" w:cs="黑体"/>
          <w:color w:val="000000" w:themeColor="text1"/>
          <w:sz w:val="24"/>
          <w:szCs w:val="24"/>
          <w14:textFill>
            <w14:solidFill>
              <w14:schemeClr w14:val="tx1"/>
            </w14:solidFill>
          </w14:textFill>
        </w:rPr>
        <w:t>适用于处理不同超标项目的推荐技术</w:t>
      </w:r>
      <w:bookmarkEnd w:id="866"/>
    </w:p>
    <w:tbl>
      <w:tblPr>
        <w:tblStyle w:val="39"/>
        <w:tblW w:w="880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67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62" w:type="dxa"/>
            <w:tcBorders>
              <w:tl2br w:val="nil"/>
              <w:tr2bl w:val="nil"/>
            </w:tcBorders>
            <w:vAlign w:val="center"/>
          </w:tcPr>
          <w:p>
            <w:pPr>
              <w:pStyle w:val="80"/>
              <w:rPr>
                <w:color w:val="000000" w:themeColor="text1"/>
                <w:kern w:val="0"/>
                <w14:textFill>
                  <w14:solidFill>
                    <w14:schemeClr w14:val="tx1"/>
                  </w14:solidFill>
                </w14:textFill>
              </w:rPr>
            </w:pPr>
            <w:r>
              <w:rPr>
                <w:color w:val="000000" w:themeColor="text1"/>
                <w:kern w:val="0"/>
                <w14:textFill>
                  <w14:solidFill>
                    <w14:schemeClr w14:val="tx1"/>
                  </w14:solidFill>
                </w14:textFill>
              </w:rPr>
              <w:t>超标项目</w:t>
            </w:r>
          </w:p>
        </w:tc>
        <w:tc>
          <w:tcPr>
            <w:tcW w:w="6739" w:type="dxa"/>
            <w:tcBorders>
              <w:tl2br w:val="nil"/>
              <w:tr2bl w:val="nil"/>
            </w:tcBorders>
            <w:vAlign w:val="center"/>
          </w:tcPr>
          <w:p>
            <w:pPr>
              <w:pStyle w:val="80"/>
              <w:rPr>
                <w:color w:val="000000" w:themeColor="text1"/>
                <w:kern w:val="0"/>
                <w14:textFill>
                  <w14:solidFill>
                    <w14:schemeClr w14:val="tx1"/>
                  </w14:solidFill>
                </w14:textFill>
              </w:rPr>
            </w:pPr>
            <w:r>
              <w:rPr>
                <w:color w:val="000000" w:themeColor="text1"/>
                <w:kern w:val="0"/>
                <w14:textFill>
                  <w14:solidFill>
                    <w14:schemeClr w14:val="tx1"/>
                  </w14:solidFill>
                </w14:textFill>
              </w:rPr>
              <w:t>推</w:t>
            </w:r>
            <w:r>
              <w:rPr>
                <w:color w:val="000000" w:themeColor="text1"/>
                <w:kern w:val="0"/>
                <w14:textFill>
                  <w14:solidFill>
                    <w14:schemeClr w14:val="tx1"/>
                  </w14:solidFill>
                </w14:textFill>
              </w:rPr>
              <w:tab/>
            </w:r>
            <w:r>
              <w:rPr>
                <w:color w:val="000000" w:themeColor="text1"/>
                <w:kern w:val="0"/>
                <w14:textFill>
                  <w14:solidFill>
                    <w14:schemeClr w14:val="tx1"/>
                  </w14:solidFill>
                </w14:textFill>
              </w:rPr>
              <w:t>荐</w:t>
            </w:r>
            <w:r>
              <w:rPr>
                <w:color w:val="000000" w:themeColor="text1"/>
                <w:kern w:val="0"/>
                <w14:textFill>
                  <w14:solidFill>
                    <w14:schemeClr w14:val="tx1"/>
                  </w14:solidFill>
                </w14:textFill>
              </w:rPr>
              <w:tab/>
            </w:r>
            <w:r>
              <w:rPr>
                <w:color w:val="000000" w:themeColor="text1"/>
                <w:kern w:val="0"/>
                <w14:textFill>
                  <w14:solidFill>
                    <w14:schemeClr w14:val="tx1"/>
                  </w14:solidFill>
                </w14:textFill>
              </w:rPr>
              <w:t>技</w:t>
            </w:r>
            <w:r>
              <w:rPr>
                <w:color w:val="000000" w:themeColor="text1"/>
                <w:kern w:val="0"/>
                <w14:textFill>
                  <w14:solidFill>
                    <w14:schemeClr w14:val="tx1"/>
                  </w14:solidFill>
                </w14:textFill>
              </w:rPr>
              <w:tab/>
            </w:r>
            <w:r>
              <w:rPr>
                <w:color w:val="000000" w:themeColor="text1"/>
                <w:kern w:val="0"/>
                <w14:textFill>
                  <w14:solidFill>
                    <w14:schemeClr w14:val="tx1"/>
                  </w14:solidFill>
                </w14:textFill>
              </w:rPr>
              <w:t>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62" w:type="dxa"/>
            <w:tcBorders>
              <w:tl2br w:val="nil"/>
              <w:tr2bl w:val="nil"/>
            </w:tcBorders>
            <w:vAlign w:val="center"/>
          </w:tcPr>
          <w:p>
            <w:pPr>
              <w:pStyle w:val="80"/>
              <w:rPr>
                <w:color w:val="000000" w:themeColor="text1"/>
                <w:kern w:val="0"/>
                <w14:textFill>
                  <w14:solidFill>
                    <w14:schemeClr w14:val="tx1"/>
                  </w14:solidFill>
                </w14:textFill>
              </w:rPr>
            </w:pPr>
            <w:r>
              <w:rPr>
                <w:color w:val="000000" w:themeColor="text1"/>
                <w:kern w:val="0"/>
                <w14:textFill>
                  <w14:solidFill>
                    <w14:schemeClr w14:val="tx1"/>
                  </w14:solidFill>
                </w14:textFill>
              </w:rPr>
              <w:t>浊度</w:t>
            </w:r>
          </w:p>
        </w:tc>
        <w:tc>
          <w:tcPr>
            <w:tcW w:w="6739" w:type="dxa"/>
            <w:tcBorders>
              <w:tl2br w:val="nil"/>
              <w:tr2bl w:val="nil"/>
            </w:tcBorders>
            <w:vAlign w:val="center"/>
          </w:tcPr>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快速砂滤池、絮凝、沉淀、过滤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62" w:type="dxa"/>
            <w:tcBorders>
              <w:tl2br w:val="nil"/>
              <w:tr2bl w:val="nil"/>
            </w:tcBorders>
            <w:vAlign w:val="center"/>
          </w:tcPr>
          <w:p>
            <w:pPr>
              <w:pStyle w:val="80"/>
              <w:rPr>
                <w:color w:val="000000" w:themeColor="text1"/>
                <w:kern w:val="0"/>
                <w14:textFill>
                  <w14:solidFill>
                    <w14:schemeClr w14:val="tx1"/>
                  </w14:solidFill>
                </w14:textFill>
              </w:rPr>
            </w:pPr>
            <w:r>
              <w:rPr>
                <w:color w:val="000000" w:themeColor="text1"/>
                <w:kern w:val="0"/>
                <w14:textFill>
                  <w14:solidFill>
                    <w14:schemeClr w14:val="tx1"/>
                  </w14:solidFill>
                </w14:textFill>
              </w:rPr>
              <w:t>色度</w:t>
            </w:r>
          </w:p>
        </w:tc>
        <w:tc>
          <w:tcPr>
            <w:tcW w:w="6739" w:type="dxa"/>
            <w:tcBorders>
              <w:tl2br w:val="nil"/>
              <w:tr2bl w:val="nil"/>
            </w:tcBorders>
            <w:vAlign w:val="center"/>
          </w:tcPr>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快速砂滤池、絮凝；</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活性炭吸附；</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化学氧化预处理：臭氧、氯、高锰酸钾、二氧化氯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62" w:type="dxa"/>
            <w:tcBorders>
              <w:tl2br w:val="nil"/>
              <w:tr2bl w:val="nil"/>
            </w:tcBorders>
            <w:vAlign w:val="center"/>
          </w:tcPr>
          <w:p>
            <w:pPr>
              <w:pStyle w:val="80"/>
              <w:rPr>
                <w:color w:val="000000" w:themeColor="text1"/>
                <w:kern w:val="0"/>
                <w14:textFill>
                  <w14:solidFill>
                    <w14:schemeClr w14:val="tx1"/>
                  </w14:solidFill>
                </w14:textFill>
              </w:rPr>
            </w:pPr>
            <w:r>
              <w:rPr>
                <w:color w:val="000000" w:themeColor="text1"/>
                <w:kern w:val="0"/>
                <w14:textFill>
                  <w14:solidFill>
                    <w14:schemeClr w14:val="tx1"/>
                  </w14:solidFill>
                </w14:textFill>
              </w:rPr>
              <w:t>嗅味</w:t>
            </w:r>
          </w:p>
        </w:tc>
        <w:tc>
          <w:tcPr>
            <w:tcW w:w="6739" w:type="dxa"/>
            <w:tcBorders>
              <w:tl2br w:val="nil"/>
              <w:tr2bl w:val="nil"/>
            </w:tcBorders>
            <w:vAlign w:val="center"/>
          </w:tcPr>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化学氧化预处理：臭氧、氯、高锰酸钾、二氧化氯、活性炭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62" w:type="dxa"/>
            <w:tcBorders>
              <w:tl2br w:val="nil"/>
              <w:tr2bl w:val="nil"/>
            </w:tcBorders>
            <w:vAlign w:val="center"/>
          </w:tcPr>
          <w:p>
            <w:pPr>
              <w:pStyle w:val="80"/>
              <w:rPr>
                <w:color w:val="000000" w:themeColor="text1"/>
                <w:kern w:val="0"/>
                <w14:textFill>
                  <w14:solidFill>
                    <w14:schemeClr w14:val="tx1"/>
                  </w14:solidFill>
                </w14:textFill>
              </w:rPr>
            </w:pPr>
            <w:r>
              <w:rPr>
                <w:color w:val="000000" w:themeColor="text1"/>
                <w:kern w:val="0"/>
                <w14:textFill>
                  <w14:solidFill>
                    <w14:schemeClr w14:val="tx1"/>
                  </w14:solidFill>
                </w14:textFill>
              </w:rPr>
              <w:t>氟化物</w:t>
            </w:r>
          </w:p>
        </w:tc>
        <w:tc>
          <w:tcPr>
            <w:tcW w:w="6739" w:type="dxa"/>
            <w:tcBorders>
              <w:tl2br w:val="nil"/>
              <w:tr2bl w:val="nil"/>
            </w:tcBorders>
            <w:vAlign w:val="center"/>
          </w:tcPr>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吸附法：氧化铝、磷酸二钙；</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混凝沉淀法：硫酸铝、聚合氯化铝；</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离子交换法；</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电渗析法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62" w:type="dxa"/>
            <w:tcBorders>
              <w:tl2br w:val="nil"/>
              <w:tr2bl w:val="nil"/>
            </w:tcBorders>
            <w:vAlign w:val="center"/>
          </w:tcPr>
          <w:p>
            <w:pPr>
              <w:pStyle w:val="80"/>
              <w:rPr>
                <w:color w:val="000000" w:themeColor="text1"/>
                <w:kern w:val="0"/>
                <w14:textFill>
                  <w14:solidFill>
                    <w14:schemeClr w14:val="tx1"/>
                  </w14:solidFill>
                </w14:textFill>
              </w:rPr>
            </w:pPr>
            <w:r>
              <w:rPr>
                <w:color w:val="000000" w:themeColor="text1"/>
                <w:kern w:val="0"/>
                <w14:textFill>
                  <w14:solidFill>
                    <w14:schemeClr w14:val="tx1"/>
                  </w14:solidFill>
                </w14:textFill>
              </w:rPr>
              <w:t>氨氮</w:t>
            </w:r>
          </w:p>
        </w:tc>
        <w:tc>
          <w:tcPr>
            <w:tcW w:w="6739" w:type="dxa"/>
            <w:tcBorders>
              <w:tl2br w:val="nil"/>
              <w:tr2bl w:val="nil"/>
            </w:tcBorders>
            <w:vAlign w:val="center"/>
          </w:tcPr>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化学氧化预处理：氯、高锰酸钾；</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深度处理：臭氧-活性炭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62" w:type="dxa"/>
            <w:tcBorders>
              <w:tl2br w:val="nil"/>
              <w:tr2bl w:val="nil"/>
            </w:tcBorders>
            <w:vAlign w:val="center"/>
          </w:tcPr>
          <w:p>
            <w:pPr>
              <w:pStyle w:val="80"/>
              <w:rPr>
                <w:color w:val="000000" w:themeColor="text1"/>
                <w:kern w:val="0"/>
                <w14:textFill>
                  <w14:solidFill>
                    <w14:schemeClr w14:val="tx1"/>
                  </w14:solidFill>
                </w14:textFill>
              </w:rPr>
            </w:pPr>
            <w:r>
              <w:rPr>
                <w:color w:val="000000" w:themeColor="text1"/>
                <w:kern w:val="0"/>
                <w14:textFill>
                  <w14:solidFill>
                    <w14:schemeClr w14:val="tx1"/>
                  </w14:solidFill>
                </w14:textFill>
              </w:rPr>
              <w:t>铁、锰</w:t>
            </w:r>
          </w:p>
        </w:tc>
        <w:tc>
          <w:tcPr>
            <w:tcW w:w="6739" w:type="dxa"/>
            <w:tcBorders>
              <w:tl2br w:val="nil"/>
              <w:tr2bl w:val="nil"/>
            </w:tcBorders>
            <w:vAlign w:val="center"/>
          </w:tcPr>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锰砂；</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化学氧化预处理：氯、高锰酸钾；</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深度处理：臭氧-活性炭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62" w:type="dxa"/>
            <w:tcBorders>
              <w:tl2br w:val="nil"/>
              <w:tr2bl w:val="nil"/>
            </w:tcBorders>
            <w:vAlign w:val="center"/>
          </w:tcPr>
          <w:p>
            <w:pPr>
              <w:pStyle w:val="80"/>
              <w:rPr>
                <w:color w:val="000000" w:themeColor="text1"/>
                <w:kern w:val="0"/>
                <w14:textFill>
                  <w14:solidFill>
                    <w14:schemeClr w14:val="tx1"/>
                  </w14:solidFill>
                </w14:textFill>
              </w:rPr>
            </w:pPr>
            <w:r>
              <w:rPr>
                <w:color w:val="000000" w:themeColor="text1"/>
                <w:kern w:val="0"/>
                <w14:textFill>
                  <w14:solidFill>
                    <w14:schemeClr w14:val="tx1"/>
                  </w14:solidFill>
                </w14:textFill>
              </w:rPr>
              <w:t>挥发性有机物</w:t>
            </w:r>
          </w:p>
        </w:tc>
        <w:tc>
          <w:tcPr>
            <w:tcW w:w="6739" w:type="dxa"/>
            <w:tcBorders>
              <w:tl2br w:val="nil"/>
              <w:tr2bl w:val="nil"/>
            </w:tcBorders>
            <w:vAlign w:val="center"/>
          </w:tcPr>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活性炭吸附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62" w:type="dxa"/>
            <w:tcBorders>
              <w:tl2br w:val="nil"/>
              <w:tr2bl w:val="nil"/>
            </w:tcBorders>
            <w:vAlign w:val="center"/>
          </w:tcPr>
          <w:p>
            <w:pPr>
              <w:pStyle w:val="80"/>
              <w:rPr>
                <w:color w:val="000000" w:themeColor="text1"/>
                <w:kern w:val="0"/>
                <w14:textFill>
                  <w14:solidFill>
                    <w14:schemeClr w14:val="tx1"/>
                  </w14:solidFill>
                </w14:textFill>
              </w:rPr>
            </w:pPr>
            <w:r>
              <w:rPr>
                <w:color w:val="000000" w:themeColor="text1"/>
                <w:kern w:val="0"/>
                <w14:textFill>
                  <w14:solidFill>
                    <w14:schemeClr w14:val="tx1"/>
                  </w14:solidFill>
                </w14:textFill>
              </w:rPr>
              <w:t>三氯甲烷和腐殖酸</w:t>
            </w:r>
          </w:p>
        </w:tc>
        <w:tc>
          <w:tcPr>
            <w:tcW w:w="6739" w:type="dxa"/>
            <w:tcBorders>
              <w:tl2br w:val="nil"/>
              <w:tr2bl w:val="nil"/>
            </w:tcBorders>
            <w:vAlign w:val="center"/>
          </w:tcPr>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前驱物的去除：强化混凝、粒状活性炭、活性炭；</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氯化副产物的去除：粒状活性炭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62" w:type="dxa"/>
            <w:tcBorders>
              <w:tl2br w:val="nil"/>
              <w:tr2bl w:val="nil"/>
            </w:tcBorders>
            <w:vAlign w:val="center"/>
          </w:tcPr>
          <w:p>
            <w:pPr>
              <w:pStyle w:val="80"/>
              <w:rPr>
                <w:color w:val="000000" w:themeColor="text1"/>
                <w:kern w:val="0"/>
                <w14:textFill>
                  <w14:solidFill>
                    <w14:schemeClr w14:val="tx1"/>
                  </w14:solidFill>
                </w14:textFill>
              </w:rPr>
            </w:pPr>
            <w:r>
              <w:rPr>
                <w:color w:val="000000" w:themeColor="text1"/>
                <w:kern w:val="0"/>
                <w14:textFill>
                  <w14:solidFill>
                    <w14:schemeClr w14:val="tx1"/>
                  </w14:solidFill>
                </w14:textFill>
              </w:rPr>
              <w:t>有机化合物</w:t>
            </w:r>
          </w:p>
        </w:tc>
        <w:tc>
          <w:tcPr>
            <w:tcW w:w="6739" w:type="dxa"/>
            <w:tcBorders>
              <w:tl2br w:val="nil"/>
              <w:tr2bl w:val="nil"/>
            </w:tcBorders>
            <w:vAlign w:val="center"/>
          </w:tcPr>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活性炭、膜处理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62" w:type="dxa"/>
            <w:tcBorders>
              <w:tl2br w:val="nil"/>
              <w:tr2bl w:val="nil"/>
            </w:tcBorders>
            <w:vAlign w:val="center"/>
          </w:tcPr>
          <w:p>
            <w:pPr>
              <w:pStyle w:val="80"/>
              <w:rPr>
                <w:color w:val="000000" w:themeColor="text1"/>
                <w:kern w:val="0"/>
                <w14:textFill>
                  <w14:solidFill>
                    <w14:schemeClr w14:val="tx1"/>
                  </w14:solidFill>
                </w14:textFill>
              </w:rPr>
            </w:pPr>
            <w:r>
              <w:rPr>
                <w:color w:val="000000" w:themeColor="text1"/>
                <w:kern w:val="0"/>
                <w14:textFill>
                  <w14:solidFill>
                    <w14:schemeClr w14:val="tx1"/>
                  </w14:solidFill>
                </w14:textFill>
              </w:rPr>
              <w:t>细菌和病毒</w:t>
            </w:r>
          </w:p>
        </w:tc>
        <w:tc>
          <w:tcPr>
            <w:tcW w:w="6739" w:type="dxa"/>
            <w:tcBorders>
              <w:tl2br w:val="nil"/>
              <w:tr2bl w:val="nil"/>
            </w:tcBorders>
            <w:vAlign w:val="center"/>
          </w:tcPr>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过滤（部分去除）；</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消毒处理：氯、二氧化氯、臭氧、膜处理、紫外消毒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62" w:type="dxa"/>
            <w:tcBorders>
              <w:tl2br w:val="nil"/>
              <w:tr2bl w:val="nil"/>
            </w:tcBorders>
            <w:vAlign w:val="center"/>
          </w:tcPr>
          <w:p>
            <w:pPr>
              <w:pStyle w:val="80"/>
              <w:rPr>
                <w:color w:val="000000" w:themeColor="text1"/>
                <w:kern w:val="0"/>
                <w14:textFill>
                  <w14:solidFill>
                    <w14:schemeClr w14:val="tx1"/>
                  </w14:solidFill>
                </w14:textFill>
              </w:rPr>
            </w:pPr>
            <w:r>
              <w:rPr>
                <w:color w:val="000000" w:themeColor="text1"/>
                <w:kern w:val="0"/>
                <w14:textFill>
                  <w14:solidFill>
                    <w14:schemeClr w14:val="tx1"/>
                  </w14:solidFill>
                </w14:textFill>
              </w:rPr>
              <w:t>汞、铬等部分重金属</w:t>
            </w:r>
          </w:p>
          <w:p>
            <w:pPr>
              <w:pStyle w:val="80"/>
              <w:rPr>
                <w:color w:val="000000" w:themeColor="text1"/>
                <w:kern w:val="0"/>
                <w14:textFill>
                  <w14:solidFill>
                    <w14:schemeClr w14:val="tx1"/>
                  </w14:solidFill>
                </w14:textFill>
              </w:rPr>
            </w:pPr>
            <w:r>
              <w:rPr>
                <w:color w:val="000000" w:themeColor="text1"/>
                <w:kern w:val="0"/>
                <w14:textFill>
                  <w14:solidFill>
                    <w14:schemeClr w14:val="tx1"/>
                  </w14:solidFill>
                </w14:textFill>
              </w:rPr>
              <w:t>（应急状态）</w:t>
            </w:r>
          </w:p>
        </w:tc>
        <w:tc>
          <w:tcPr>
            <w:tcW w:w="6739" w:type="dxa"/>
            <w:tcBorders>
              <w:tl2br w:val="nil"/>
              <w:tr2bl w:val="nil"/>
            </w:tcBorders>
            <w:vAlign w:val="center"/>
          </w:tcPr>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氧化法：高锰酸钾；</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活性炭吸附（部分去除）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62" w:type="dxa"/>
            <w:tcBorders>
              <w:tl2br w:val="nil"/>
              <w:tr2bl w:val="nil"/>
            </w:tcBorders>
            <w:vAlign w:val="center"/>
          </w:tcPr>
          <w:p>
            <w:pPr>
              <w:pStyle w:val="80"/>
              <w:rPr>
                <w:color w:val="000000" w:themeColor="text1"/>
                <w:kern w:val="0"/>
                <w14:textFill>
                  <w14:solidFill>
                    <w14:schemeClr w14:val="tx1"/>
                  </w14:solidFill>
                </w14:textFill>
              </w:rPr>
            </w:pPr>
            <w:r>
              <w:rPr>
                <w:color w:val="000000" w:themeColor="text1"/>
                <w:kern w:val="0"/>
                <w14:textFill>
                  <w14:solidFill>
                    <w14:schemeClr w14:val="tx1"/>
                  </w14:solidFill>
                </w14:textFill>
              </w:rPr>
              <w:t>藻类及藻毒素</w:t>
            </w:r>
          </w:p>
        </w:tc>
        <w:tc>
          <w:tcPr>
            <w:tcW w:w="6739" w:type="dxa"/>
            <w:tcBorders>
              <w:tl2br w:val="nil"/>
              <w:tr2bl w:val="nil"/>
            </w:tcBorders>
            <w:vAlign w:val="center"/>
          </w:tcPr>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化学氧化预处理：除藻剂法、高锰酸钾、氯；</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微滤法；</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气浮法；</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臭氧氧化法；</w:t>
            </w:r>
          </w:p>
          <w:p>
            <w:pPr>
              <w:pStyle w:val="80"/>
              <w:jc w:val="both"/>
              <w:rPr>
                <w:color w:val="000000" w:themeColor="text1"/>
                <w14:textFill>
                  <w14:solidFill>
                    <w14:schemeClr w14:val="tx1"/>
                  </w14:solidFill>
                </w14:textFill>
              </w:rPr>
            </w:pPr>
            <w:r>
              <w:rPr>
                <w:color w:val="000000" w:themeColor="text1"/>
                <w:kern w:val="0"/>
                <w14:textFill>
                  <w14:solidFill>
                    <w14:schemeClr w14:val="tx1"/>
                  </w14:solidFill>
                </w14:textFill>
              </w:rPr>
              <w:t>拦截与打捞法</w:t>
            </w:r>
          </w:p>
        </w:tc>
      </w:tr>
    </w:tbl>
    <w:p>
      <w:pPr>
        <w:pStyle w:val="77"/>
        <w:ind w:firstLine="480"/>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bookmarkEnd w:id="863"/>
    <w:bookmarkEnd w:id="864"/>
    <w:p>
      <w:pPr>
        <w:pStyle w:val="110"/>
        <w:spacing w:before="156" w:after="156"/>
        <w:rPr>
          <w:rFonts w:ascii="黑体" w:hAnsi="黑体" w:cs="黑体"/>
          <w:color w:val="000000" w:themeColor="text1"/>
          <w:sz w:val="24"/>
          <w:szCs w:val="24"/>
          <w14:textFill>
            <w14:solidFill>
              <w14:schemeClr w14:val="tx1"/>
            </w14:solidFill>
          </w14:textFill>
        </w:rPr>
      </w:pPr>
      <w:bookmarkStart w:id="867" w:name="_Toc12213"/>
      <w:bookmarkStart w:id="868" w:name="_Toc25590"/>
      <w:bookmarkStart w:id="869" w:name="_Toc522893269"/>
      <w:bookmarkStart w:id="870" w:name="_Toc528234280"/>
      <w:bookmarkStart w:id="871" w:name="_Toc523219338"/>
      <w:bookmarkStart w:id="872" w:name="_Toc523223926"/>
      <w:bookmarkStart w:id="873" w:name="_Toc523220142"/>
      <w:bookmarkStart w:id="874" w:name="_Toc27036"/>
      <w:bookmarkStart w:id="875" w:name="_Toc523219627"/>
      <w:bookmarkStart w:id="876" w:name="_Toc523223386"/>
      <w:bookmarkStart w:id="877" w:name="_Toc529453298"/>
      <w:bookmarkStart w:id="878" w:name="_Toc523153573"/>
      <w:bookmarkStart w:id="879" w:name="_Toc529453144"/>
      <w:bookmarkStart w:id="880" w:name="_Toc527026603"/>
      <w:bookmarkStart w:id="881" w:name="_Toc8164"/>
      <w:bookmarkStart w:id="882" w:name="_Toc3563"/>
      <w:bookmarkStart w:id="883" w:name="_Toc21697"/>
      <w:bookmarkStart w:id="884" w:name="_Toc6786_WPSOffice_Level1"/>
      <w:bookmarkStart w:id="885" w:name="_Toc10542"/>
      <w:bookmarkStart w:id="886" w:name="_Toc13517"/>
      <w:bookmarkStart w:id="887" w:name="_Toc29630"/>
      <w:bookmarkStart w:id="888" w:name="_Toc523220145"/>
      <w:bookmarkStart w:id="889" w:name="_Toc523153576"/>
      <w:bookmarkStart w:id="890" w:name="_Toc523223929"/>
      <w:bookmarkStart w:id="891" w:name="_Toc529453300"/>
      <w:bookmarkStart w:id="892" w:name="_Toc523219630"/>
      <w:bookmarkStart w:id="893" w:name="_Toc528234282"/>
      <w:bookmarkStart w:id="894" w:name="_Toc4311"/>
      <w:bookmarkStart w:id="895" w:name="_Toc527026606"/>
      <w:bookmarkStart w:id="896" w:name="_Toc529453146"/>
      <w:bookmarkStart w:id="897" w:name="_Toc522893272"/>
      <w:bookmarkStart w:id="898" w:name="_Toc13018"/>
      <w:bookmarkStart w:id="899" w:name="_Toc523223389"/>
      <w:bookmarkStart w:id="900" w:name="_Toc523219341"/>
      <w:bookmarkStart w:id="901" w:name="_Toc21825"/>
      <w:r>
        <w:rPr>
          <w:rFonts w:hint="eastAsia" w:cs="黑体"/>
          <w:color w:val="000000" w:themeColor="text1"/>
          <w:sz w:val="24"/>
          <w:szCs w:val="24"/>
          <w14:textFill>
            <w14:solidFill>
              <w14:schemeClr w14:val="tx1"/>
            </w14:solidFill>
          </w14:textFill>
        </w:rPr>
        <w:t>附件</w:t>
      </w:r>
      <w:bookmarkEnd w:id="867"/>
      <w:r>
        <w:rPr>
          <w:rFonts w:hint="eastAsia" w:cs="黑体"/>
          <w:color w:val="000000" w:themeColor="text1"/>
          <w:sz w:val="24"/>
          <w:szCs w:val="24"/>
          <w:lang w:val="en-US" w:eastAsia="zh-CN"/>
          <w14:textFill>
            <w14:solidFill>
              <w14:schemeClr w14:val="tx1"/>
            </w14:solidFill>
          </w14:textFill>
        </w:rPr>
        <w:t>7</w:t>
      </w:r>
      <w:r>
        <w:rPr>
          <w:rFonts w:hint="eastAsia"/>
          <w:color w:val="000000" w:themeColor="text1"/>
          <w:sz w:val="24"/>
          <w:szCs w:val="24"/>
          <w14:textFill>
            <w14:solidFill>
              <w14:schemeClr w14:val="tx1"/>
            </w14:solidFill>
          </w14:textFill>
        </w:rPr>
        <w:t>：</w:t>
      </w:r>
      <w:r>
        <w:rPr>
          <w:rFonts w:hint="eastAsia" w:ascii="黑体" w:hAnsi="黑体" w:cs="黑体"/>
          <w:color w:val="000000" w:themeColor="text1"/>
          <w:sz w:val="24"/>
          <w:szCs w:val="24"/>
          <w14:textFill>
            <w14:solidFill>
              <w14:schemeClr w14:val="tx1"/>
            </w14:solidFill>
          </w14:textFill>
        </w:rPr>
        <w:t>城厢区集中式地表水饮用水水源地突发环境事件应急物资</w:t>
      </w:r>
      <w:bookmarkEnd w:id="868"/>
      <w:bookmarkEnd w:id="869"/>
      <w:bookmarkEnd w:id="870"/>
      <w:bookmarkEnd w:id="871"/>
      <w:bookmarkEnd w:id="872"/>
      <w:bookmarkEnd w:id="873"/>
      <w:bookmarkEnd w:id="874"/>
      <w:bookmarkEnd w:id="875"/>
      <w:bookmarkEnd w:id="876"/>
      <w:bookmarkEnd w:id="877"/>
      <w:bookmarkEnd w:id="878"/>
      <w:bookmarkEnd w:id="879"/>
      <w:bookmarkEnd w:id="880"/>
      <w:r>
        <w:rPr>
          <w:rFonts w:hint="eastAsia" w:ascii="黑体" w:hAnsi="黑体" w:cs="黑体"/>
          <w:color w:val="000000" w:themeColor="text1"/>
          <w:sz w:val="24"/>
          <w:szCs w:val="24"/>
          <w14:textFill>
            <w14:solidFill>
              <w14:schemeClr w14:val="tx1"/>
            </w14:solidFill>
          </w14:textFill>
        </w:rPr>
        <w:t>储备情况</w:t>
      </w:r>
      <w:bookmarkEnd w:id="881"/>
    </w:p>
    <w:p>
      <w:pPr>
        <w:pStyle w:val="38"/>
        <w:spacing w:line="360" w:lineRule="auto"/>
        <w:ind w:firstLine="241"/>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表1  莆田市</w:t>
      </w:r>
      <w:r>
        <w:rPr>
          <w:rFonts w:hint="eastAsia"/>
          <w:b/>
          <w:bCs/>
          <w:color w:val="000000" w:themeColor="text1"/>
          <w:sz w:val="24"/>
          <w:szCs w:val="24"/>
          <w:lang w:eastAsia="zh-CN"/>
          <w14:textFill>
            <w14:solidFill>
              <w14:schemeClr w14:val="tx1"/>
            </w14:solidFill>
          </w14:textFill>
        </w:rPr>
        <w:t>生态环境局</w:t>
      </w:r>
      <w:r>
        <w:rPr>
          <w:rFonts w:hint="eastAsia"/>
          <w:b/>
          <w:bCs/>
          <w:color w:val="000000" w:themeColor="text1"/>
          <w:sz w:val="24"/>
          <w:szCs w:val="24"/>
          <w14:textFill>
            <w14:solidFill>
              <w14:schemeClr w14:val="tx1"/>
            </w14:solidFill>
          </w14:textFill>
        </w:rPr>
        <w:t>（市环境监察支队）</w:t>
      </w:r>
      <w:r>
        <w:rPr>
          <w:b/>
          <w:bCs/>
          <w:color w:val="000000" w:themeColor="text1"/>
          <w:sz w:val="24"/>
          <w:szCs w:val="24"/>
          <w14:textFill>
            <w14:solidFill>
              <w14:schemeClr w14:val="tx1"/>
            </w14:solidFill>
          </w14:textFill>
        </w:rPr>
        <w:t>应急能力建设应急物资明细表</w:t>
      </w:r>
    </w:p>
    <w:tbl>
      <w:tblPr>
        <w:tblStyle w:val="39"/>
        <w:tblW w:w="935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16"/>
        <w:gridCol w:w="4740"/>
        <w:gridCol w:w="660"/>
        <w:gridCol w:w="755"/>
        <w:gridCol w:w="258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616" w:type="dxa"/>
            <w:tcBorders>
              <w:tl2br w:val="nil"/>
              <w:tr2bl w:val="nil"/>
            </w:tcBorders>
            <w:shd w:val="clear" w:color="auto" w:fill="auto"/>
            <w:noWrap/>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4740"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物资名称</w:t>
            </w:r>
          </w:p>
        </w:tc>
        <w:tc>
          <w:tcPr>
            <w:tcW w:w="660"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数量</w:t>
            </w:r>
          </w:p>
        </w:tc>
        <w:tc>
          <w:tcPr>
            <w:tcW w:w="755"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量纲</w:t>
            </w:r>
          </w:p>
        </w:tc>
        <w:tc>
          <w:tcPr>
            <w:tcW w:w="2583"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616"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47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气体致密型化学防护服</w:t>
            </w:r>
          </w:p>
        </w:tc>
        <w:tc>
          <w:tcPr>
            <w:tcW w:w="66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75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件</w:t>
            </w:r>
          </w:p>
        </w:tc>
        <w:tc>
          <w:tcPr>
            <w:tcW w:w="2583"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616"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47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液体致密型化学防护服或粉尘致密型化学防护服</w:t>
            </w:r>
          </w:p>
        </w:tc>
        <w:tc>
          <w:tcPr>
            <w:tcW w:w="66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75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套</w:t>
            </w:r>
          </w:p>
        </w:tc>
        <w:tc>
          <w:tcPr>
            <w:tcW w:w="2583"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616"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47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应急现场工作服</w:t>
            </w:r>
          </w:p>
        </w:tc>
        <w:tc>
          <w:tcPr>
            <w:tcW w:w="66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75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套</w:t>
            </w:r>
          </w:p>
        </w:tc>
        <w:tc>
          <w:tcPr>
            <w:tcW w:w="2583"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616"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47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易燃易爆气体报警装置</w:t>
            </w:r>
          </w:p>
        </w:tc>
        <w:tc>
          <w:tcPr>
            <w:tcW w:w="66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75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台</w:t>
            </w:r>
          </w:p>
        </w:tc>
        <w:tc>
          <w:tcPr>
            <w:tcW w:w="2583"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55" w:hRule="exact"/>
          <w:jc w:val="center"/>
        </w:trPr>
        <w:tc>
          <w:tcPr>
            <w:tcW w:w="616"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47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有毒有害气体检测报警装置2台、辐射报警装置2台、医用急救箱3台、应急供电、照明设备1套、睡</w:t>
            </w:r>
          </w:p>
        </w:tc>
        <w:tc>
          <w:tcPr>
            <w:tcW w:w="66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75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台</w:t>
            </w:r>
          </w:p>
        </w:tc>
        <w:tc>
          <w:tcPr>
            <w:tcW w:w="2583"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616"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47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辐射报警装置</w:t>
            </w:r>
          </w:p>
        </w:tc>
        <w:tc>
          <w:tcPr>
            <w:tcW w:w="66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75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台</w:t>
            </w:r>
          </w:p>
        </w:tc>
        <w:tc>
          <w:tcPr>
            <w:tcW w:w="2583"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616"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47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医用急救箱</w:t>
            </w:r>
          </w:p>
        </w:tc>
        <w:tc>
          <w:tcPr>
            <w:tcW w:w="66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75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台</w:t>
            </w:r>
          </w:p>
        </w:tc>
        <w:tc>
          <w:tcPr>
            <w:tcW w:w="2583"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616"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47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应急供电、照明设备</w:t>
            </w:r>
          </w:p>
        </w:tc>
        <w:tc>
          <w:tcPr>
            <w:tcW w:w="66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5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套</w:t>
            </w:r>
          </w:p>
        </w:tc>
        <w:tc>
          <w:tcPr>
            <w:tcW w:w="2583"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05" w:hRule="exact"/>
          <w:jc w:val="center"/>
        </w:trPr>
        <w:tc>
          <w:tcPr>
            <w:tcW w:w="616"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9</w:t>
            </w:r>
          </w:p>
        </w:tc>
        <w:tc>
          <w:tcPr>
            <w:tcW w:w="47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睡袋</w:t>
            </w:r>
          </w:p>
        </w:tc>
        <w:tc>
          <w:tcPr>
            <w:tcW w:w="66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75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套</w:t>
            </w:r>
          </w:p>
        </w:tc>
        <w:tc>
          <w:tcPr>
            <w:tcW w:w="2583"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616"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47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帐篷</w:t>
            </w:r>
          </w:p>
        </w:tc>
        <w:tc>
          <w:tcPr>
            <w:tcW w:w="66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75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顶</w:t>
            </w:r>
          </w:p>
        </w:tc>
        <w:tc>
          <w:tcPr>
            <w:tcW w:w="2583"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616"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11</w:t>
            </w:r>
          </w:p>
        </w:tc>
        <w:tc>
          <w:tcPr>
            <w:tcW w:w="47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高精度GPS定位仪</w:t>
            </w:r>
          </w:p>
        </w:tc>
        <w:tc>
          <w:tcPr>
            <w:tcW w:w="66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75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台</w:t>
            </w:r>
          </w:p>
        </w:tc>
        <w:tc>
          <w:tcPr>
            <w:tcW w:w="2583"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616"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47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激光测距望远镜</w:t>
            </w:r>
          </w:p>
        </w:tc>
        <w:tc>
          <w:tcPr>
            <w:tcW w:w="66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5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台</w:t>
            </w:r>
          </w:p>
        </w:tc>
        <w:tc>
          <w:tcPr>
            <w:tcW w:w="2583"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616"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13</w:t>
            </w:r>
          </w:p>
        </w:tc>
        <w:tc>
          <w:tcPr>
            <w:tcW w:w="47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防爆对讲机</w:t>
            </w:r>
          </w:p>
        </w:tc>
        <w:tc>
          <w:tcPr>
            <w:tcW w:w="66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75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部</w:t>
            </w:r>
          </w:p>
        </w:tc>
        <w:tc>
          <w:tcPr>
            <w:tcW w:w="2583"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616"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14</w:t>
            </w:r>
          </w:p>
        </w:tc>
        <w:tc>
          <w:tcPr>
            <w:tcW w:w="47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环境应急巡视系统</w:t>
            </w:r>
          </w:p>
        </w:tc>
        <w:tc>
          <w:tcPr>
            <w:tcW w:w="66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75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套</w:t>
            </w:r>
          </w:p>
        </w:tc>
        <w:tc>
          <w:tcPr>
            <w:tcW w:w="2583"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（无人机1架+摄像+废气监测仪及适时传输系统）</w:t>
            </w:r>
          </w:p>
        </w:tc>
      </w:tr>
    </w:tbl>
    <w:p>
      <w:pPr>
        <w:pStyle w:val="38"/>
        <w:spacing w:line="360" w:lineRule="auto"/>
        <w:ind w:firstLine="1205" w:firstLineChars="500"/>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 xml:space="preserve">表2  </w:t>
      </w:r>
      <w:r>
        <w:rPr>
          <w:rFonts w:hint="eastAsia"/>
          <w:b/>
          <w:bCs/>
          <w:color w:val="000000" w:themeColor="text1"/>
          <w:sz w:val="24"/>
          <w:szCs w:val="24"/>
          <w:lang w:eastAsia="zh-CN"/>
          <w14:textFill>
            <w14:solidFill>
              <w14:schemeClr w14:val="tx1"/>
            </w14:solidFill>
          </w14:textFill>
        </w:rPr>
        <w:t>城厢区生态环境局</w:t>
      </w:r>
      <w:r>
        <w:rPr>
          <w:b/>
          <w:bCs/>
          <w:color w:val="000000" w:themeColor="text1"/>
          <w:sz w:val="24"/>
          <w:szCs w:val="24"/>
          <w14:textFill>
            <w14:solidFill>
              <w14:schemeClr w14:val="tx1"/>
            </w14:solidFill>
          </w14:textFill>
        </w:rPr>
        <w:t>应急能力建设应急物资明细表</w:t>
      </w:r>
    </w:p>
    <w:tbl>
      <w:tblPr>
        <w:tblStyle w:val="39"/>
        <w:tblW w:w="937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91"/>
        <w:gridCol w:w="2430"/>
        <w:gridCol w:w="1245"/>
        <w:gridCol w:w="1078"/>
        <w:gridCol w:w="2838"/>
        <w:gridCol w:w="628"/>
        <w:gridCol w:w="66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491" w:type="dxa"/>
            <w:tcBorders>
              <w:tl2br w:val="nil"/>
              <w:tr2bl w:val="nil"/>
            </w:tcBorders>
            <w:shd w:val="clear" w:color="auto" w:fill="auto"/>
            <w:noWrap/>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2430"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物资名称</w:t>
            </w:r>
          </w:p>
        </w:tc>
        <w:tc>
          <w:tcPr>
            <w:tcW w:w="1245"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应急用途</w:t>
            </w:r>
          </w:p>
        </w:tc>
        <w:tc>
          <w:tcPr>
            <w:tcW w:w="1078"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品牌</w:t>
            </w:r>
          </w:p>
        </w:tc>
        <w:tc>
          <w:tcPr>
            <w:tcW w:w="2838"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规格型号</w:t>
            </w:r>
          </w:p>
        </w:tc>
        <w:tc>
          <w:tcPr>
            <w:tcW w:w="628"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数量</w:t>
            </w:r>
          </w:p>
        </w:tc>
        <w:tc>
          <w:tcPr>
            <w:tcW w:w="660" w:type="dxa"/>
            <w:tcBorders>
              <w:tl2br w:val="nil"/>
              <w:tr2bl w:val="nil"/>
            </w:tcBorders>
            <w:shd w:val="clear" w:color="auto" w:fill="FFFFFF"/>
            <w:tcMar>
              <w:top w:w="15" w:type="dxa"/>
              <w:left w:w="15" w:type="dxa"/>
              <w:right w:w="15" w:type="dxa"/>
            </w:tcMar>
            <w:vAlign w:val="center"/>
          </w:tcPr>
          <w:p>
            <w:pPr>
              <w:widowControl/>
              <w:jc w:val="center"/>
              <w:textAlignment w:val="center"/>
              <w:rPr>
                <w:b/>
                <w:color w:val="000000" w:themeColor="text1"/>
                <w:sz w:val="18"/>
                <w:szCs w:val="18"/>
                <w14:textFill>
                  <w14:solidFill>
                    <w14:schemeClr w14:val="tx1"/>
                  </w14:solidFill>
                </w14:textFill>
              </w:rPr>
            </w:pPr>
            <w:r>
              <w:rPr>
                <w:b/>
                <w:color w:val="000000" w:themeColor="text1"/>
                <w:kern w:val="0"/>
                <w:sz w:val="18"/>
                <w:szCs w:val="18"/>
                <w14:textFill>
                  <w14:solidFill>
                    <w14:schemeClr w14:val="tx1"/>
                  </w14:solidFill>
                </w14:textFill>
              </w:rPr>
              <w:t>量纲</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491"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243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激光测距测高望远镜</w:t>
            </w:r>
          </w:p>
        </w:tc>
        <w:tc>
          <w:tcPr>
            <w:tcW w:w="124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应急监测</w:t>
            </w:r>
          </w:p>
        </w:tc>
        <w:tc>
          <w:tcPr>
            <w:tcW w:w="107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博士能</w:t>
            </w:r>
          </w:p>
        </w:tc>
        <w:tc>
          <w:tcPr>
            <w:tcW w:w="283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202310</w:t>
            </w:r>
          </w:p>
        </w:tc>
        <w:tc>
          <w:tcPr>
            <w:tcW w:w="62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660" w:type="dxa"/>
            <w:tcBorders>
              <w:tl2br w:val="nil"/>
              <w:tr2bl w:val="nil"/>
            </w:tcBorders>
            <w:shd w:val="clear" w:color="auto" w:fill="FFFFFF"/>
            <w:tcMar>
              <w:top w:w="15" w:type="dxa"/>
              <w:left w:w="15" w:type="dxa"/>
              <w:right w:w="15" w:type="dxa"/>
            </w:tcMar>
            <w:vAlign w:val="center"/>
          </w:tcPr>
          <w:p>
            <w:pPr>
              <w:widowControl/>
              <w:jc w:val="center"/>
              <w:textAlignment w:val="center"/>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491"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243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GPS卫星定位仪</w:t>
            </w:r>
          </w:p>
        </w:tc>
        <w:tc>
          <w:tcPr>
            <w:tcW w:w="124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应急监测</w:t>
            </w:r>
          </w:p>
        </w:tc>
        <w:tc>
          <w:tcPr>
            <w:tcW w:w="107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中海达</w:t>
            </w:r>
          </w:p>
        </w:tc>
        <w:tc>
          <w:tcPr>
            <w:tcW w:w="283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Qcooli7</w:t>
            </w:r>
          </w:p>
        </w:tc>
        <w:tc>
          <w:tcPr>
            <w:tcW w:w="62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660" w:type="dxa"/>
            <w:tcBorders>
              <w:tl2br w:val="nil"/>
              <w:tr2bl w:val="nil"/>
            </w:tcBorders>
            <w:shd w:val="clear" w:color="auto" w:fill="FFFFFF"/>
            <w:tcMar>
              <w:top w:w="15" w:type="dxa"/>
              <w:left w:w="15" w:type="dxa"/>
              <w:right w:w="15" w:type="dxa"/>
            </w:tcMar>
            <w:vAlign w:val="center"/>
          </w:tcPr>
          <w:p>
            <w:pPr>
              <w:widowControl/>
              <w:jc w:val="center"/>
              <w:textAlignment w:val="center"/>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491"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243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帐篷</w:t>
            </w:r>
          </w:p>
        </w:tc>
        <w:tc>
          <w:tcPr>
            <w:tcW w:w="124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其它</w:t>
            </w:r>
          </w:p>
        </w:tc>
        <w:tc>
          <w:tcPr>
            <w:tcW w:w="107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牧高笛</w:t>
            </w:r>
          </w:p>
        </w:tc>
        <w:tc>
          <w:tcPr>
            <w:tcW w:w="283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MZ2092006</w:t>
            </w:r>
          </w:p>
        </w:tc>
        <w:tc>
          <w:tcPr>
            <w:tcW w:w="62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660" w:type="dxa"/>
            <w:tcBorders>
              <w:tl2br w:val="nil"/>
              <w:tr2bl w:val="nil"/>
            </w:tcBorders>
            <w:shd w:val="clear" w:color="auto" w:fill="FFFFFF"/>
            <w:tcMar>
              <w:top w:w="15" w:type="dxa"/>
              <w:left w:w="15" w:type="dxa"/>
              <w:right w:w="15" w:type="dxa"/>
            </w:tcMar>
            <w:vAlign w:val="center"/>
          </w:tcPr>
          <w:p>
            <w:pPr>
              <w:widowControl/>
              <w:jc w:val="center"/>
              <w:textAlignment w:val="center"/>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491"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243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睡袋</w:t>
            </w:r>
          </w:p>
        </w:tc>
        <w:tc>
          <w:tcPr>
            <w:tcW w:w="124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其它</w:t>
            </w:r>
          </w:p>
        </w:tc>
        <w:tc>
          <w:tcPr>
            <w:tcW w:w="107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牧高笛</w:t>
            </w:r>
          </w:p>
        </w:tc>
        <w:tc>
          <w:tcPr>
            <w:tcW w:w="283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MF091006</w:t>
            </w:r>
          </w:p>
        </w:tc>
        <w:tc>
          <w:tcPr>
            <w:tcW w:w="62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60" w:type="dxa"/>
            <w:tcBorders>
              <w:tl2br w:val="nil"/>
              <w:tr2bl w:val="nil"/>
            </w:tcBorders>
            <w:shd w:val="clear" w:color="auto" w:fill="FFFFFF"/>
            <w:tcMar>
              <w:top w:w="15" w:type="dxa"/>
              <w:left w:w="15" w:type="dxa"/>
              <w:right w:w="15" w:type="dxa"/>
            </w:tcMar>
            <w:vAlign w:val="center"/>
          </w:tcPr>
          <w:p>
            <w:pPr>
              <w:widowControl/>
              <w:jc w:val="center"/>
              <w:textAlignment w:val="center"/>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491"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243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医用急救箱</w:t>
            </w:r>
          </w:p>
        </w:tc>
        <w:tc>
          <w:tcPr>
            <w:tcW w:w="124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其它</w:t>
            </w:r>
          </w:p>
        </w:tc>
        <w:tc>
          <w:tcPr>
            <w:tcW w:w="107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羿科</w:t>
            </w:r>
          </w:p>
        </w:tc>
        <w:tc>
          <w:tcPr>
            <w:tcW w:w="283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60916901</w:t>
            </w:r>
          </w:p>
        </w:tc>
        <w:tc>
          <w:tcPr>
            <w:tcW w:w="62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60" w:type="dxa"/>
            <w:tcBorders>
              <w:tl2br w:val="nil"/>
              <w:tr2bl w:val="nil"/>
            </w:tcBorders>
            <w:shd w:val="clear" w:color="auto" w:fill="FFFFFF"/>
            <w:tcMar>
              <w:top w:w="15" w:type="dxa"/>
              <w:left w:w="15" w:type="dxa"/>
              <w:right w:w="15" w:type="dxa"/>
            </w:tcMar>
            <w:vAlign w:val="center"/>
          </w:tcPr>
          <w:p>
            <w:pPr>
              <w:widowControl/>
              <w:jc w:val="center"/>
              <w:textAlignment w:val="center"/>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个</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491"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243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应急工作服</w:t>
            </w:r>
          </w:p>
        </w:tc>
        <w:tc>
          <w:tcPr>
            <w:tcW w:w="124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工作日常</w:t>
            </w:r>
          </w:p>
        </w:tc>
        <w:tc>
          <w:tcPr>
            <w:tcW w:w="107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哥伦比亚</w:t>
            </w:r>
          </w:p>
        </w:tc>
        <w:tc>
          <w:tcPr>
            <w:tcW w:w="283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三合一冲锋衣</w:t>
            </w:r>
          </w:p>
        </w:tc>
        <w:tc>
          <w:tcPr>
            <w:tcW w:w="62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660" w:type="dxa"/>
            <w:tcBorders>
              <w:tl2br w:val="nil"/>
              <w:tr2bl w:val="nil"/>
            </w:tcBorders>
            <w:shd w:val="clear" w:color="auto" w:fill="FFFFFF"/>
            <w:tcMar>
              <w:top w:w="15" w:type="dxa"/>
              <w:left w:w="15" w:type="dxa"/>
              <w:right w:w="15" w:type="dxa"/>
            </w:tcMar>
            <w:vAlign w:val="center"/>
          </w:tcPr>
          <w:p>
            <w:pPr>
              <w:widowControl/>
              <w:jc w:val="center"/>
              <w:textAlignment w:val="center"/>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件</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491"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243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防爆对讲机</w:t>
            </w:r>
          </w:p>
        </w:tc>
        <w:tc>
          <w:tcPr>
            <w:tcW w:w="124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应急通信</w:t>
            </w:r>
          </w:p>
        </w:tc>
        <w:tc>
          <w:tcPr>
            <w:tcW w:w="107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海能达</w:t>
            </w:r>
          </w:p>
        </w:tc>
        <w:tc>
          <w:tcPr>
            <w:tcW w:w="283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TC700Ex</w:t>
            </w:r>
          </w:p>
        </w:tc>
        <w:tc>
          <w:tcPr>
            <w:tcW w:w="62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660" w:type="dxa"/>
            <w:tcBorders>
              <w:tl2br w:val="nil"/>
              <w:tr2bl w:val="nil"/>
            </w:tcBorders>
            <w:shd w:val="clear" w:color="auto" w:fill="FFFFFF"/>
            <w:tcMar>
              <w:top w:w="15" w:type="dxa"/>
              <w:left w:w="15" w:type="dxa"/>
              <w:right w:w="15" w:type="dxa"/>
            </w:tcMar>
            <w:vAlign w:val="center"/>
          </w:tcPr>
          <w:p>
            <w:pPr>
              <w:widowControl/>
              <w:jc w:val="center"/>
              <w:textAlignment w:val="center"/>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491"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243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有毒有害气体报警装置</w:t>
            </w:r>
          </w:p>
        </w:tc>
        <w:tc>
          <w:tcPr>
            <w:tcW w:w="124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监测预警</w:t>
            </w:r>
          </w:p>
        </w:tc>
        <w:tc>
          <w:tcPr>
            <w:tcW w:w="107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德尔格</w:t>
            </w:r>
          </w:p>
        </w:tc>
        <w:tc>
          <w:tcPr>
            <w:tcW w:w="283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X-am5000</w:t>
            </w:r>
          </w:p>
        </w:tc>
        <w:tc>
          <w:tcPr>
            <w:tcW w:w="62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60" w:type="dxa"/>
            <w:tcBorders>
              <w:tl2br w:val="nil"/>
              <w:tr2bl w:val="nil"/>
            </w:tcBorders>
            <w:shd w:val="clear" w:color="auto" w:fill="FFFFFF"/>
            <w:tcMar>
              <w:top w:w="15" w:type="dxa"/>
              <w:left w:w="15" w:type="dxa"/>
              <w:right w:w="15" w:type="dxa"/>
            </w:tcMar>
            <w:vAlign w:val="center"/>
          </w:tcPr>
          <w:p>
            <w:pPr>
              <w:widowControl/>
              <w:jc w:val="center"/>
              <w:textAlignment w:val="center"/>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491"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9</w:t>
            </w:r>
          </w:p>
        </w:tc>
        <w:tc>
          <w:tcPr>
            <w:tcW w:w="243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易燃易爆气体报警装置</w:t>
            </w:r>
          </w:p>
        </w:tc>
        <w:tc>
          <w:tcPr>
            <w:tcW w:w="124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监测预警</w:t>
            </w:r>
          </w:p>
        </w:tc>
        <w:tc>
          <w:tcPr>
            <w:tcW w:w="107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德尔格</w:t>
            </w:r>
          </w:p>
        </w:tc>
        <w:tc>
          <w:tcPr>
            <w:tcW w:w="283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X-am2500</w:t>
            </w:r>
          </w:p>
        </w:tc>
        <w:tc>
          <w:tcPr>
            <w:tcW w:w="62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60" w:type="dxa"/>
            <w:tcBorders>
              <w:tl2br w:val="nil"/>
              <w:tr2bl w:val="nil"/>
            </w:tcBorders>
            <w:shd w:val="clear" w:color="auto" w:fill="FFFFFF"/>
            <w:tcMar>
              <w:top w:w="15" w:type="dxa"/>
              <w:left w:w="15" w:type="dxa"/>
              <w:right w:w="15" w:type="dxa"/>
            </w:tcMar>
            <w:vAlign w:val="center"/>
          </w:tcPr>
          <w:p>
            <w:pPr>
              <w:widowControl/>
              <w:jc w:val="center"/>
              <w:textAlignment w:val="center"/>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491"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243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液密型化学防护服</w:t>
            </w:r>
          </w:p>
        </w:tc>
        <w:tc>
          <w:tcPr>
            <w:tcW w:w="124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应急防护</w:t>
            </w:r>
          </w:p>
        </w:tc>
        <w:tc>
          <w:tcPr>
            <w:tcW w:w="107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德尔格</w:t>
            </w:r>
          </w:p>
        </w:tc>
        <w:tc>
          <w:tcPr>
            <w:tcW w:w="283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WorkstarPVC（配NOVA面罩）</w:t>
            </w:r>
          </w:p>
        </w:tc>
        <w:tc>
          <w:tcPr>
            <w:tcW w:w="62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660" w:type="dxa"/>
            <w:tcBorders>
              <w:tl2br w:val="nil"/>
              <w:tr2bl w:val="nil"/>
            </w:tcBorders>
            <w:shd w:val="clear" w:color="auto" w:fill="FFFFFF"/>
            <w:tcMar>
              <w:top w:w="15" w:type="dxa"/>
              <w:left w:w="15" w:type="dxa"/>
              <w:right w:w="15" w:type="dxa"/>
            </w:tcMar>
            <w:vAlign w:val="center"/>
          </w:tcPr>
          <w:p>
            <w:pPr>
              <w:widowControl/>
              <w:jc w:val="center"/>
              <w:textAlignment w:val="center"/>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exact"/>
          <w:jc w:val="center"/>
        </w:trPr>
        <w:tc>
          <w:tcPr>
            <w:tcW w:w="491"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11</w:t>
            </w:r>
          </w:p>
        </w:tc>
        <w:tc>
          <w:tcPr>
            <w:tcW w:w="243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辐射报警装置</w:t>
            </w:r>
          </w:p>
        </w:tc>
        <w:tc>
          <w:tcPr>
            <w:tcW w:w="124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监测预警</w:t>
            </w:r>
          </w:p>
        </w:tc>
        <w:tc>
          <w:tcPr>
            <w:tcW w:w="107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华瑞</w:t>
            </w:r>
          </w:p>
        </w:tc>
        <w:tc>
          <w:tcPr>
            <w:tcW w:w="283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PRM1200</w:t>
            </w:r>
          </w:p>
        </w:tc>
        <w:tc>
          <w:tcPr>
            <w:tcW w:w="628"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60" w:type="dxa"/>
            <w:tcBorders>
              <w:tl2br w:val="nil"/>
              <w:tr2bl w:val="nil"/>
            </w:tcBorders>
            <w:shd w:val="clear" w:color="auto" w:fill="FFFFFF"/>
            <w:tcMar>
              <w:top w:w="15" w:type="dxa"/>
              <w:left w:w="15" w:type="dxa"/>
              <w:right w:w="15" w:type="dxa"/>
            </w:tcMar>
            <w:vAlign w:val="center"/>
          </w:tcPr>
          <w:p>
            <w:pPr>
              <w:widowControl/>
              <w:jc w:val="center"/>
              <w:textAlignment w:val="center"/>
              <w:rPr>
                <w:color w:val="000000" w:themeColor="text1"/>
                <w:sz w:val="18"/>
                <w:szCs w:val="18"/>
                <w14:textFill>
                  <w14:solidFill>
                    <w14:schemeClr w14:val="tx1"/>
                  </w14:solidFill>
                </w14:textFill>
              </w:rPr>
            </w:pPr>
            <w:r>
              <w:rPr>
                <w:color w:val="000000" w:themeColor="text1"/>
                <w:kern w:val="0"/>
                <w:sz w:val="18"/>
                <w:szCs w:val="18"/>
                <w14:textFill>
                  <w14:solidFill>
                    <w14:schemeClr w14:val="tx1"/>
                  </w14:solidFill>
                </w14:textFill>
              </w:rPr>
              <w:t>台</w:t>
            </w:r>
          </w:p>
        </w:tc>
      </w:tr>
    </w:tbl>
    <w:p>
      <w:pPr>
        <w:pStyle w:val="38"/>
        <w:spacing w:line="360" w:lineRule="auto"/>
        <w:ind w:firstLine="241"/>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 xml:space="preserve">表3 </w:t>
      </w:r>
      <w:r>
        <w:rPr>
          <w:b/>
          <w:bCs/>
          <w:color w:val="000000" w:themeColor="text1"/>
          <w:sz w:val="24"/>
          <w:szCs w:val="24"/>
          <w14:textFill>
            <w14:solidFill>
              <w14:schemeClr w14:val="tx1"/>
            </w14:solidFill>
          </w14:textFill>
        </w:rPr>
        <w:t>城厢区生态环境局应急能力建设应急物资明细表（2019年新购）</w:t>
      </w:r>
    </w:p>
    <w:tbl>
      <w:tblPr>
        <w:tblStyle w:val="39"/>
        <w:tblW w:w="948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85"/>
        <w:gridCol w:w="1140"/>
        <w:gridCol w:w="1004"/>
        <w:gridCol w:w="1639"/>
        <w:gridCol w:w="597"/>
        <w:gridCol w:w="600"/>
        <w:gridCol w:w="735"/>
        <w:gridCol w:w="675"/>
        <w:gridCol w:w="261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4" w:hRule="atLeast"/>
          <w:jc w:val="center"/>
        </w:trPr>
        <w:tc>
          <w:tcPr>
            <w:tcW w:w="485"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1140"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物资名称</w:t>
            </w:r>
          </w:p>
        </w:tc>
        <w:tc>
          <w:tcPr>
            <w:tcW w:w="1004"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应急用途</w:t>
            </w:r>
          </w:p>
        </w:tc>
        <w:tc>
          <w:tcPr>
            <w:tcW w:w="1639"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型号规格</w:t>
            </w:r>
          </w:p>
        </w:tc>
        <w:tc>
          <w:tcPr>
            <w:tcW w:w="597"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数量</w:t>
            </w:r>
          </w:p>
        </w:tc>
        <w:tc>
          <w:tcPr>
            <w:tcW w:w="600"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量纲</w:t>
            </w:r>
          </w:p>
        </w:tc>
        <w:tc>
          <w:tcPr>
            <w:tcW w:w="735"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单价</w:t>
            </w:r>
          </w:p>
        </w:tc>
        <w:tc>
          <w:tcPr>
            <w:tcW w:w="675"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总价</w:t>
            </w:r>
          </w:p>
        </w:tc>
        <w:tc>
          <w:tcPr>
            <w:tcW w:w="2610" w:type="dxa"/>
            <w:tcBorders>
              <w:tl2br w:val="nil"/>
              <w:tr2bl w:val="nil"/>
            </w:tcBorders>
            <w:shd w:val="clear" w:color="auto" w:fill="FFFFFF"/>
            <w:tcMar>
              <w:top w:w="15" w:type="dxa"/>
              <w:left w:w="15" w:type="dxa"/>
              <w:right w:w="15" w:type="dxa"/>
            </w:tcMar>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使用说明</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85"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11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防护服</w:t>
            </w:r>
          </w:p>
        </w:tc>
        <w:tc>
          <w:tcPr>
            <w:tcW w:w="1004"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疫情防护</w:t>
            </w:r>
          </w:p>
        </w:tc>
        <w:tc>
          <w:tcPr>
            <w:tcW w:w="1639"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雷克兰AMN428ETS</w:t>
            </w:r>
          </w:p>
        </w:tc>
        <w:tc>
          <w:tcPr>
            <w:tcW w:w="597"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80</w:t>
            </w:r>
          </w:p>
        </w:tc>
        <w:tc>
          <w:tcPr>
            <w:tcW w:w="60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套</w:t>
            </w:r>
          </w:p>
        </w:tc>
        <w:tc>
          <w:tcPr>
            <w:tcW w:w="73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64</w:t>
            </w:r>
          </w:p>
        </w:tc>
        <w:tc>
          <w:tcPr>
            <w:tcW w:w="67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5120</w:t>
            </w:r>
          </w:p>
        </w:tc>
        <w:tc>
          <w:tcPr>
            <w:tcW w:w="261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可防护传染病毒，生化病毒。一次性使用。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85"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11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口罩</w:t>
            </w:r>
          </w:p>
        </w:tc>
        <w:tc>
          <w:tcPr>
            <w:tcW w:w="1004"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疫情防护</w:t>
            </w:r>
          </w:p>
        </w:tc>
        <w:tc>
          <w:tcPr>
            <w:tcW w:w="1639"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德尔格X-plore1330VO</w:t>
            </w:r>
          </w:p>
        </w:tc>
        <w:tc>
          <w:tcPr>
            <w:tcW w:w="597"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80</w:t>
            </w:r>
          </w:p>
        </w:tc>
        <w:tc>
          <w:tcPr>
            <w:tcW w:w="60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个</w:t>
            </w:r>
          </w:p>
        </w:tc>
        <w:tc>
          <w:tcPr>
            <w:tcW w:w="73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90</w:t>
            </w:r>
          </w:p>
        </w:tc>
        <w:tc>
          <w:tcPr>
            <w:tcW w:w="67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7200</w:t>
            </w:r>
          </w:p>
        </w:tc>
        <w:tc>
          <w:tcPr>
            <w:tcW w:w="261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防臭可多次使用，疫情防护为一次性使用。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85"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11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护目镜</w:t>
            </w:r>
          </w:p>
        </w:tc>
        <w:tc>
          <w:tcPr>
            <w:tcW w:w="1004"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疫情防护</w:t>
            </w:r>
          </w:p>
        </w:tc>
        <w:tc>
          <w:tcPr>
            <w:tcW w:w="1639"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羿科Bluestell E304</w:t>
            </w:r>
          </w:p>
        </w:tc>
        <w:tc>
          <w:tcPr>
            <w:tcW w:w="597"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60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副</w:t>
            </w:r>
          </w:p>
        </w:tc>
        <w:tc>
          <w:tcPr>
            <w:tcW w:w="73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100</w:t>
            </w:r>
          </w:p>
        </w:tc>
        <w:tc>
          <w:tcPr>
            <w:tcW w:w="67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1000</w:t>
            </w:r>
          </w:p>
        </w:tc>
        <w:tc>
          <w:tcPr>
            <w:tcW w:w="261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85"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11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防护靴</w:t>
            </w:r>
          </w:p>
        </w:tc>
        <w:tc>
          <w:tcPr>
            <w:tcW w:w="1004"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疫情防护</w:t>
            </w:r>
          </w:p>
        </w:tc>
        <w:tc>
          <w:tcPr>
            <w:tcW w:w="1639"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羿科60700104</w:t>
            </w:r>
          </w:p>
        </w:tc>
        <w:tc>
          <w:tcPr>
            <w:tcW w:w="597"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60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双</w:t>
            </w:r>
          </w:p>
        </w:tc>
        <w:tc>
          <w:tcPr>
            <w:tcW w:w="73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80</w:t>
            </w:r>
          </w:p>
        </w:tc>
        <w:tc>
          <w:tcPr>
            <w:tcW w:w="67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800</w:t>
            </w:r>
          </w:p>
        </w:tc>
        <w:tc>
          <w:tcPr>
            <w:tcW w:w="261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85"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11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手套</w:t>
            </w:r>
          </w:p>
        </w:tc>
        <w:tc>
          <w:tcPr>
            <w:tcW w:w="1004"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疫情防护</w:t>
            </w:r>
          </w:p>
        </w:tc>
        <w:tc>
          <w:tcPr>
            <w:tcW w:w="1639"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羿科60600701</w:t>
            </w:r>
          </w:p>
        </w:tc>
        <w:tc>
          <w:tcPr>
            <w:tcW w:w="597"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60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双</w:t>
            </w:r>
          </w:p>
        </w:tc>
        <w:tc>
          <w:tcPr>
            <w:tcW w:w="73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27</w:t>
            </w:r>
          </w:p>
        </w:tc>
        <w:tc>
          <w:tcPr>
            <w:tcW w:w="67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270</w:t>
            </w:r>
          </w:p>
        </w:tc>
        <w:tc>
          <w:tcPr>
            <w:tcW w:w="261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可多次使用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485" w:type="dxa"/>
            <w:tcBorders>
              <w:tl2br w:val="nil"/>
              <w:tr2bl w:val="nil"/>
            </w:tcBorders>
            <w:shd w:val="clear" w:color="auto" w:fill="auto"/>
            <w:noWrap/>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114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手套</w:t>
            </w:r>
          </w:p>
        </w:tc>
        <w:tc>
          <w:tcPr>
            <w:tcW w:w="1004"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疫情防护</w:t>
            </w:r>
          </w:p>
        </w:tc>
        <w:tc>
          <w:tcPr>
            <w:tcW w:w="1639"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爱马斯AMMEX</w:t>
            </w:r>
          </w:p>
        </w:tc>
        <w:tc>
          <w:tcPr>
            <w:tcW w:w="597"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60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盒</w:t>
            </w:r>
          </w:p>
        </w:tc>
        <w:tc>
          <w:tcPr>
            <w:tcW w:w="73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36</w:t>
            </w:r>
          </w:p>
        </w:tc>
        <w:tc>
          <w:tcPr>
            <w:tcW w:w="675"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72</w:t>
            </w:r>
          </w:p>
        </w:tc>
        <w:tc>
          <w:tcPr>
            <w:tcW w:w="2610" w:type="dxa"/>
            <w:tcBorders>
              <w:tl2br w:val="nil"/>
              <w:tr2bl w:val="nil"/>
            </w:tcBorders>
            <w:shd w:val="clear" w:color="auto" w:fill="FFFFFF"/>
            <w:tcMar>
              <w:top w:w="15" w:type="dxa"/>
              <w:left w:w="15" w:type="dxa"/>
              <w:right w:w="15" w:type="dxa"/>
            </w:tcMar>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一次性医用手套，一盒100个</w:t>
            </w:r>
          </w:p>
        </w:tc>
      </w:tr>
    </w:tbl>
    <w:p>
      <w:pPr>
        <w:pStyle w:val="38"/>
        <w:spacing w:line="360" w:lineRule="auto"/>
        <w:ind w:firstLine="241"/>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市级环境应急物资储备库建设情况</w:t>
      </w:r>
    </w:p>
    <w:tbl>
      <w:tblPr>
        <w:tblStyle w:val="39"/>
        <w:tblW w:w="95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410"/>
        <w:gridCol w:w="2157"/>
        <w:gridCol w:w="69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10" w:type="dxa"/>
            <w:tcBorders>
              <w:tl2br w:val="nil"/>
              <w:tr2bl w:val="nil"/>
            </w:tcBorders>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序号</w:t>
            </w:r>
          </w:p>
        </w:tc>
        <w:tc>
          <w:tcPr>
            <w:tcW w:w="2157" w:type="dxa"/>
            <w:tcBorders>
              <w:tl2br w:val="nil"/>
              <w:tr2bl w:val="nil"/>
            </w:tcBorders>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依托承建（存放）单位</w:t>
            </w:r>
          </w:p>
        </w:tc>
        <w:tc>
          <w:tcPr>
            <w:tcW w:w="6993" w:type="dxa"/>
            <w:tcBorders>
              <w:tl2br w:val="nil"/>
              <w:tr2bl w:val="nil"/>
            </w:tcBorders>
            <w:vAlign w:val="center"/>
          </w:tcPr>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建设任务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10"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2157"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东圳水库</w:t>
            </w:r>
          </w:p>
        </w:tc>
        <w:tc>
          <w:tcPr>
            <w:tcW w:w="6993"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草酸1t、石灰粉7t、絮凝剂5t、颗粒状活性碳2t、漂白粉2t、编织袋1000个、泡沫围油栏1000m、吸油毡8t、应急潜水泵5台。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10"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2157"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金钟水库</w:t>
            </w:r>
          </w:p>
        </w:tc>
        <w:tc>
          <w:tcPr>
            <w:tcW w:w="6993"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草酸1t、石灰粉7t、絮凝剂5t、颗粒状活性碳2t、漂白粉1t、编织袋1000个、泡沫围油栏1000m、吸油毡4t、应急潜水泵5台。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10"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2157"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外渡水库</w:t>
            </w:r>
          </w:p>
        </w:tc>
        <w:tc>
          <w:tcPr>
            <w:tcW w:w="6993"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草酸1t、石灰粉7t、絮凝剂5t、颗粒状活性碳1t、漂白粉1t、编织袋500个、泡沫围油栏500m、吸油毡3t。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10"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2157"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古洋水库</w:t>
            </w:r>
          </w:p>
        </w:tc>
        <w:tc>
          <w:tcPr>
            <w:tcW w:w="6993"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石灰粉7t、絮凝剂5t、颗粒状活性碳1t、漂白粉1t、编织袋500个、泡沫围油栏500m、吸油毡3t。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10"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5</w:t>
            </w:r>
          </w:p>
        </w:tc>
        <w:tc>
          <w:tcPr>
            <w:tcW w:w="2157"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莆田市生态环境局</w:t>
            </w:r>
          </w:p>
          <w:p>
            <w:pPr>
              <w:jc w:val="center"/>
              <w:rPr>
                <w:color w:val="000000" w:themeColor="text1"/>
                <w14:textFill>
                  <w14:solidFill>
                    <w14:schemeClr w14:val="tx1"/>
                  </w14:solidFill>
                </w14:textFill>
              </w:rPr>
            </w:pPr>
            <w:r>
              <w:rPr>
                <w:color w:val="000000" w:themeColor="text1"/>
                <w14:textFill>
                  <w14:solidFill>
                    <w14:schemeClr w14:val="tx1"/>
                  </w14:solidFill>
                </w14:textFill>
              </w:rPr>
              <w:t>（市环境监察支队）</w:t>
            </w:r>
          </w:p>
        </w:tc>
        <w:tc>
          <w:tcPr>
            <w:tcW w:w="6993"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气体致密型化学防护服2件、液体致密型化学防护服或粉尘致密型化学防护服5件、应急现场工作服5套、易燃易爆气体报警装置2台、有毒有害气体检测报警装置2台、辐射报警装置2台、医用急救箱3台、应急供电、照明设备1套、睡袋4套、帐篷2顶；高精度GPS定位仪2台、激光测距望远镜1台、防爆对讲机6部；环境应急巡视系统1套（无人机1架+摄像+废气监测仪及适时传输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10"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6</w:t>
            </w:r>
          </w:p>
        </w:tc>
        <w:tc>
          <w:tcPr>
            <w:tcW w:w="2157"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赛得利（福建）纤维有限公司</w:t>
            </w:r>
          </w:p>
        </w:tc>
        <w:tc>
          <w:tcPr>
            <w:tcW w:w="6993"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应急潜水泵5台、硫酸100m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、防护服（正压式空气呼吸器）2套、轻型防化服100套、防酸碱面罩4副、防毒面具200副、消防隔热服8套、烧碱（32%）500吨。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10"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2157"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福建荔元活性炭有限公司</w:t>
            </w:r>
          </w:p>
        </w:tc>
        <w:tc>
          <w:tcPr>
            <w:tcW w:w="6993"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活性炭（粉末状）50吨。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10"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2157"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莆田市海神船</w:t>
            </w:r>
          </w:p>
          <w:p>
            <w:pPr>
              <w:jc w:val="center"/>
              <w:rPr>
                <w:color w:val="000000" w:themeColor="text1"/>
                <w14:textFill>
                  <w14:solidFill>
                    <w14:schemeClr w14:val="tx1"/>
                  </w14:solidFill>
                </w14:textFill>
              </w:rPr>
            </w:pPr>
            <w:r>
              <w:rPr>
                <w:color w:val="000000" w:themeColor="text1"/>
                <w14:textFill>
                  <w14:solidFill>
                    <w14:schemeClr w14:val="tx1"/>
                  </w14:solidFill>
                </w14:textFill>
              </w:rPr>
              <w:t>务有限公司</w:t>
            </w:r>
          </w:p>
        </w:tc>
        <w:tc>
          <w:tcPr>
            <w:tcW w:w="6993"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120KW发电机组1套、PN10临时储存装置1个、吸油拖栏1000m、充气式橡胶围油栏（含充吸机一套）800m、充气式橡胶围油栏卷绕架4套、充气式橡胶围油栏动力站1套、防火围油栏600米、动态斜面式收油机1套、上行带式收油机1套、真空式收油机2套、轻便储油罐6套、浮动油囊2套、高压热水清洗机4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10"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9</w:t>
            </w:r>
          </w:p>
        </w:tc>
        <w:tc>
          <w:tcPr>
            <w:tcW w:w="2157"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莆田市城厢区昌德食品有限公司</w:t>
            </w:r>
          </w:p>
        </w:tc>
        <w:tc>
          <w:tcPr>
            <w:tcW w:w="6993"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片碱10吨。</w:t>
            </w:r>
          </w:p>
        </w:tc>
      </w:tr>
    </w:tbl>
    <w:p>
      <w:pPr>
        <w:pStyle w:val="78"/>
        <w:spacing w:before="156" w:after="156"/>
        <w:rPr>
          <w:rFonts w:cs="黑体"/>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38"/>
        <w:spacing w:line="360" w:lineRule="auto"/>
        <w:ind w:firstLine="241"/>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表3  外部企业集中式地表水饮用水水源地突发环境事件应急物资储备清单</w:t>
      </w:r>
    </w:p>
    <w:tbl>
      <w:tblPr>
        <w:tblStyle w:val="39"/>
        <w:tblW w:w="79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968"/>
        <w:gridCol w:w="2050"/>
        <w:gridCol w:w="32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应急物资名称</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数量</w:t>
            </w:r>
          </w:p>
        </w:tc>
        <w:tc>
          <w:tcPr>
            <w:tcW w:w="3245"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7</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便携式抽动泵</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1台</w:t>
            </w:r>
          </w:p>
        </w:tc>
        <w:tc>
          <w:tcPr>
            <w:tcW w:w="3245"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莆田市纵横危险品运输有限公司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8</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发电机</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1台</w:t>
            </w:r>
          </w:p>
        </w:tc>
        <w:tc>
          <w:tcPr>
            <w:tcW w:w="3245"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莆田市水务投资集团有限公司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9</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防化服</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4套</w:t>
            </w:r>
          </w:p>
        </w:tc>
        <w:tc>
          <w:tcPr>
            <w:tcW w:w="3245" w:type="dxa"/>
            <w:vMerge w:val="restart"/>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百威英博雪津啤酒有限公司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10</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空气呼吸器</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4套</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11</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倒流管</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2条</w:t>
            </w:r>
          </w:p>
        </w:tc>
        <w:tc>
          <w:tcPr>
            <w:tcW w:w="3245"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福建中闽物流有限公司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12</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应急发电机</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21.6KW--24KW、64KW—70.4KW各2台</w:t>
            </w:r>
          </w:p>
        </w:tc>
        <w:tc>
          <w:tcPr>
            <w:tcW w:w="3245" w:type="dxa"/>
            <w:vMerge w:val="restart"/>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中海福建天然气有限责任公司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13</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移动灯车</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2台</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14</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汽车吊</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25T 1台</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15</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手提式防爆探照灯</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RJW7102A/LT 10套</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16</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充气式围油栏</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800m</w:t>
            </w:r>
          </w:p>
        </w:tc>
        <w:tc>
          <w:tcPr>
            <w:tcW w:w="3245" w:type="dxa"/>
            <w:vMerge w:val="restart"/>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莆田海事局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17</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防火围油栏</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600m</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18</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斜面式收油机</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4</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19</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轻便储存罐</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6套</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20</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浮动油囊</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2套</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21</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油泵</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3245" w:type="dxa"/>
            <w:vMerge w:val="restart"/>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中海福建天然气有限责任公司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22</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橡胶围油栏</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1469m</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23</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斜面式收油机</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24</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消油剂</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0.8T</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25</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喷洒装置</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26</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吸油毡</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1T</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27</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轻便储存罐</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1套</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28</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油泵</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3245" w:type="dxa"/>
            <w:vMerge w:val="restart"/>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福建八方港口发展有限公司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29</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固体浮子式围油栏</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1500m</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30</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斜面式收油机</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31</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消油剂</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2.5T</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32</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喷洒装置</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33</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吸油毡</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2T</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34</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轻便储存罐</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3</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35</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油泵</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3245" w:type="dxa"/>
            <w:vMerge w:val="restart"/>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福建莆头港口开发有限公司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36</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固体浮子式围油栏</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1040</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37</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斜面式收油机</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38</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消油剂</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1.2T</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39</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喷洒装置</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40</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吸油毡</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2T</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41</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轻便储存罐</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42</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油泵</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5台</w:t>
            </w:r>
          </w:p>
        </w:tc>
        <w:tc>
          <w:tcPr>
            <w:tcW w:w="3245" w:type="dxa"/>
            <w:vMerge w:val="restart"/>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莆田市海神船务有限公司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43</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固体浮子式围油栏</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4260</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44</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斜面式收油机</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6台</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45</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消油剂</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4.35T</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46</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喷洒装置</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4台</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47</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吸油毡</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6T</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48</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轻便储存罐</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1套</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49</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收油船</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50</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油泵</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51</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固体浮子式围油栏</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2360</w:t>
            </w:r>
          </w:p>
        </w:tc>
        <w:tc>
          <w:tcPr>
            <w:tcW w:w="3245" w:type="dxa"/>
            <w:vMerge w:val="restart"/>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莆田市辰龙船务有限公司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52</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斜面式收油机</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3台</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53</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消油剂</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1.4T</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54</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喷洒装置</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2套</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55</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吸油毡</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3T</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96" w:type="dxa"/>
            <w:tcBorders>
              <w:tl2br w:val="nil"/>
              <w:tr2bl w:val="nil"/>
            </w:tcBorders>
            <w:vAlign w:val="center"/>
          </w:tcPr>
          <w:p>
            <w:pPr>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56</w:t>
            </w:r>
          </w:p>
        </w:tc>
        <w:tc>
          <w:tcPr>
            <w:tcW w:w="1968"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收油船</w:t>
            </w:r>
          </w:p>
        </w:tc>
        <w:tc>
          <w:tcPr>
            <w:tcW w:w="2050" w:type="dxa"/>
            <w:tcBorders>
              <w:tl2br w:val="nil"/>
              <w:tr2bl w:val="nil"/>
            </w:tcBorders>
            <w:vAlign w:val="center"/>
          </w:tcPr>
          <w:p>
            <w:pPr>
              <w:spacing w:line="300" w:lineRule="exact"/>
              <w:jc w:val="center"/>
              <w:rPr>
                <w:color w:val="000000" w:themeColor="text1"/>
                <w14:textFill>
                  <w14:solidFill>
                    <w14:schemeClr w14:val="tx1"/>
                  </w14:solidFill>
                </w14:textFill>
              </w:rPr>
            </w:pPr>
            <w:r>
              <w:rPr>
                <w:color w:val="000000" w:themeColor="text1"/>
                <w14:textFill>
                  <w14:solidFill>
                    <w14:schemeClr w14:val="tx1"/>
                  </w14:solidFill>
                </w14:textFill>
              </w:rPr>
              <w:t>2</w:t>
            </w:r>
          </w:p>
        </w:tc>
        <w:tc>
          <w:tcPr>
            <w:tcW w:w="3245" w:type="dxa"/>
            <w:vMerge w:val="continue"/>
            <w:tcBorders>
              <w:tl2br w:val="nil"/>
              <w:tr2bl w:val="nil"/>
            </w:tcBorders>
            <w:vAlign w:val="center"/>
          </w:tcPr>
          <w:p>
            <w:pPr>
              <w:spacing w:line="300" w:lineRule="exact"/>
              <w:jc w:val="center"/>
              <w:rPr>
                <w:color w:val="000000" w:themeColor="text1"/>
                <w14:textFill>
                  <w14:solidFill>
                    <w14:schemeClr w14:val="tx1"/>
                  </w14:solidFill>
                </w14:textFill>
              </w:rPr>
            </w:pPr>
          </w:p>
        </w:tc>
      </w:tr>
    </w:tbl>
    <w:p>
      <w:pPr>
        <w:pStyle w:val="78"/>
        <w:spacing w:before="156" w:after="156"/>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outlineLvl w:val="1"/>
        <w:rPr>
          <w:rFonts w:ascii="黑体" w:hAnsi="黑体" w:eastAsia="黑体" w:cs="黑体"/>
          <w:color w:val="000000" w:themeColor="text1"/>
          <w:kern w:val="0"/>
          <w:sz w:val="24"/>
          <w:szCs w:val="24"/>
          <w14:textFill>
            <w14:solidFill>
              <w14:schemeClr w14:val="tx1"/>
            </w14:solidFill>
          </w14:textFill>
        </w:rPr>
      </w:pPr>
      <w:bookmarkStart w:id="902" w:name="_Toc22500"/>
      <w:r>
        <w:rPr>
          <w:rFonts w:hint="eastAsia" w:ascii="黑体" w:hAnsi="黑体" w:eastAsia="黑体" w:cs="黑体"/>
          <w:color w:val="000000" w:themeColor="text1"/>
          <w:kern w:val="0"/>
          <w:sz w:val="24"/>
          <w:szCs w:val="24"/>
          <w14:textFill>
            <w14:solidFill>
              <w14:schemeClr w14:val="tx1"/>
            </w14:solidFill>
          </w14:textFill>
        </w:rPr>
        <w:t>附件</w:t>
      </w:r>
      <w:r>
        <w:rPr>
          <w:rFonts w:hint="eastAsia" w:ascii="黑体" w:hAnsi="黑体" w:eastAsia="黑体" w:cs="黑体"/>
          <w:color w:val="000000" w:themeColor="text1"/>
          <w:kern w:val="0"/>
          <w:sz w:val="24"/>
          <w:szCs w:val="24"/>
          <w:lang w:val="en-US" w:eastAsia="zh-CN"/>
          <w14:textFill>
            <w14:solidFill>
              <w14:schemeClr w14:val="tx1"/>
            </w14:solidFill>
          </w14:textFill>
        </w:rPr>
        <w:t>8</w:t>
      </w:r>
      <w:r>
        <w:rPr>
          <w:rFonts w:hint="eastAsia" w:ascii="黑体" w:hAnsi="黑体" w:eastAsia="黑体" w:cs="黑体"/>
          <w:color w:val="000000" w:themeColor="text1"/>
          <w:kern w:val="0"/>
          <w:sz w:val="24"/>
          <w:szCs w:val="24"/>
          <w14:textFill>
            <w14:solidFill>
              <w14:schemeClr w14:val="tx1"/>
            </w14:solidFill>
          </w14:textFill>
        </w:rPr>
        <w:t>：突发事件应急预案启动令</w:t>
      </w:r>
      <w:bookmarkEnd w:id="882"/>
      <w:bookmarkEnd w:id="883"/>
      <w:bookmarkEnd w:id="884"/>
      <w:bookmarkEnd w:id="885"/>
      <w:bookmarkEnd w:id="886"/>
      <w:r>
        <w:rPr>
          <w:rFonts w:hint="eastAsia" w:ascii="黑体" w:hAnsi="黑体" w:eastAsia="黑体" w:cs="黑体"/>
          <w:color w:val="000000" w:themeColor="text1"/>
          <w:kern w:val="0"/>
          <w:sz w:val="24"/>
          <w:szCs w:val="24"/>
          <w14:textFill>
            <w14:solidFill>
              <w14:schemeClr w14:val="tx1"/>
            </w14:solidFill>
          </w14:textFill>
        </w:rPr>
        <w:t>和终止令</w:t>
      </w:r>
      <w:bookmarkEnd w:id="902"/>
    </w:p>
    <w:p>
      <w:pPr>
        <w:spacing w:beforeLines="50" w:afterLines="50" w:line="600" w:lineRule="exact"/>
        <w:rPr>
          <w:rFonts w:eastAsia="仿宋_GB2312"/>
          <w:b/>
          <w:color w:val="000000" w:themeColor="text1"/>
          <w:sz w:val="32"/>
          <w:szCs w:val="32"/>
          <w14:textFill>
            <w14:solidFill>
              <w14:schemeClr w14:val="tx1"/>
            </w14:solidFill>
          </w14:textFill>
        </w:rPr>
      </w:pPr>
    </w:p>
    <w:p>
      <w:pPr>
        <w:spacing w:line="360" w:lineRule="auto"/>
        <w:jc w:val="center"/>
        <w:rPr>
          <w:b/>
          <w:bCs/>
          <w:color w:val="000000" w:themeColor="text1"/>
          <w:sz w:val="36"/>
          <w:szCs w:val="36"/>
          <w14:textFill>
            <w14:solidFill>
              <w14:schemeClr w14:val="tx1"/>
            </w14:solidFill>
          </w14:textFill>
        </w:rPr>
      </w:pPr>
      <w:bookmarkStart w:id="903" w:name="_Toc32232_WPSOffice_Level1"/>
      <w:r>
        <w:rPr>
          <w:rFonts w:hint="eastAsia"/>
          <w:b/>
          <w:bCs/>
          <w:color w:val="000000" w:themeColor="text1"/>
          <w:sz w:val="36"/>
          <w:szCs w:val="36"/>
          <w14:textFill>
            <w14:solidFill>
              <w14:schemeClr w14:val="tx1"/>
            </w14:solidFill>
          </w14:textFill>
        </w:rPr>
        <w:t>莆田市城厢区人民政府集中式地表水饮用水水源地</w:t>
      </w:r>
      <w:bookmarkEnd w:id="903"/>
      <w:bookmarkStart w:id="904" w:name="_Toc3780_WPSOffice_Level1"/>
    </w:p>
    <w:p>
      <w:pPr>
        <w:spacing w:line="360" w:lineRule="auto"/>
        <w:jc w:val="center"/>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突发环境事件应急预案</w:t>
      </w:r>
      <w:bookmarkEnd w:id="904"/>
    </w:p>
    <w:p>
      <w:pPr>
        <w:spacing w:line="360" w:lineRule="auto"/>
        <w:jc w:val="center"/>
        <w:rPr>
          <w:b/>
          <w:bCs/>
          <w:color w:val="000000" w:themeColor="text1"/>
          <w:sz w:val="36"/>
          <w:szCs w:val="36"/>
          <w14:textFill>
            <w14:solidFill>
              <w14:schemeClr w14:val="tx1"/>
            </w14:solidFill>
          </w14:textFill>
        </w:rPr>
      </w:pPr>
      <w:bookmarkStart w:id="905" w:name="_Toc20020_WPSOffice_Level1"/>
      <w:r>
        <w:rPr>
          <w:rFonts w:hint="eastAsia"/>
          <w:b/>
          <w:bCs/>
          <w:color w:val="000000" w:themeColor="text1"/>
          <w:sz w:val="36"/>
          <w:szCs w:val="36"/>
          <w14:textFill>
            <w14:solidFill>
              <w14:schemeClr w14:val="tx1"/>
            </w14:solidFill>
          </w14:textFill>
        </w:rPr>
        <w:t>启动令</w:t>
      </w:r>
      <w:bookmarkEnd w:id="905"/>
    </w:p>
    <w:p>
      <w:pPr>
        <w:spacing w:line="360" w:lineRule="auto"/>
        <w:ind w:firstLine="560" w:firstLineChars="200"/>
        <w:rPr>
          <w:color w:val="000000" w:themeColor="text1"/>
          <w:sz w:val="28"/>
          <w:szCs w:val="28"/>
          <w14:textFill>
            <w14:solidFill>
              <w14:schemeClr w14:val="tx1"/>
            </w14:solidFill>
          </w14:textFill>
        </w:rPr>
      </w:pPr>
    </w:p>
    <w:p>
      <w:pPr>
        <w:spacing w:line="360" w:lineRule="auto"/>
        <w:ind w:firstLine="560" w:firstLineChars="200"/>
        <w:rPr>
          <w:color w:val="000000" w:themeColor="text1"/>
          <w:sz w:val="28"/>
          <w:szCs w:val="28"/>
          <w14:textFill>
            <w14:solidFill>
              <w14:schemeClr w14:val="tx1"/>
            </w14:solidFill>
          </w14:textFill>
        </w:rPr>
      </w:pPr>
    </w:p>
    <w:p>
      <w:pPr>
        <w:spacing w:line="360" w:lineRule="auto"/>
        <w:ind w:firstLine="1120" w:firstLineChars="4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年</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月</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日，发生在</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(地点)的</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(事件名称)，其标准已达到突发事件(</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)级响应标准，现启动突发环境事件响应，相关单位做好应急响应工作。</w:t>
      </w:r>
    </w:p>
    <w:p>
      <w:pPr>
        <w:spacing w:line="360" w:lineRule="auto"/>
        <w:ind w:firstLine="560" w:firstLineChars="200"/>
        <w:rPr>
          <w:color w:val="000000" w:themeColor="text1"/>
          <w:sz w:val="28"/>
          <w:szCs w:val="28"/>
          <w14:textFill>
            <w14:solidFill>
              <w14:schemeClr w14:val="tx1"/>
            </w14:solidFill>
          </w14:textFill>
        </w:rPr>
      </w:pPr>
    </w:p>
    <w:p>
      <w:pPr>
        <w:spacing w:line="360" w:lineRule="auto"/>
        <w:ind w:firstLine="560" w:firstLineChars="200"/>
        <w:rPr>
          <w:color w:val="000000" w:themeColor="text1"/>
          <w:sz w:val="28"/>
          <w:szCs w:val="28"/>
          <w14:textFill>
            <w14:solidFill>
              <w14:schemeClr w14:val="tx1"/>
            </w14:solidFill>
          </w14:textFill>
        </w:rPr>
      </w:pPr>
    </w:p>
    <w:p>
      <w:pPr>
        <w:spacing w:line="360" w:lineRule="auto"/>
        <w:ind w:firstLine="560" w:firstLineChars="200"/>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w:t>
      </w:r>
      <w:bookmarkStart w:id="906" w:name="_Toc4171_WPSOffice_Level1"/>
      <w:r>
        <w:rPr>
          <w:color w:val="000000" w:themeColor="text1"/>
          <w:sz w:val="28"/>
          <w:szCs w:val="28"/>
          <w14:textFill>
            <w14:solidFill>
              <w14:schemeClr w14:val="tx1"/>
            </w14:solidFill>
          </w14:textFill>
        </w:rPr>
        <w:t>签发人：</w:t>
      </w:r>
      <w:bookmarkEnd w:id="906"/>
    </w:p>
    <w:p>
      <w:pPr>
        <w:spacing w:line="360" w:lineRule="auto"/>
        <w:ind w:firstLine="7000" w:firstLineChars="25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年</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月</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日</w:t>
      </w:r>
    </w:p>
    <w:p>
      <w:pPr>
        <w:ind w:firstLine="632" w:firstLineChars="300"/>
        <w:outlineLvl w:val="1"/>
        <w:rPr>
          <w:b/>
          <w:bCs/>
          <w:color w:val="000000" w:themeColor="text1"/>
          <w:kern w:val="0"/>
          <w:szCs w:val="24"/>
          <w14:textFill>
            <w14:solidFill>
              <w14:schemeClr w14:val="tx1"/>
            </w14:solidFill>
          </w14:textFill>
        </w:rPr>
        <w:sectPr>
          <w:pgSz w:w="11906" w:h="16838"/>
          <w:pgMar w:top="1134" w:right="1134" w:bottom="1134" w:left="1134" w:header="851" w:footer="992" w:gutter="0"/>
          <w:cols w:space="720" w:num="1"/>
          <w:docGrid w:type="lines" w:linePitch="312" w:charSpace="0"/>
        </w:sectPr>
      </w:pPr>
    </w:p>
    <w:p>
      <w:pPr>
        <w:spacing w:line="360" w:lineRule="auto"/>
        <w:jc w:val="center"/>
        <w:rPr>
          <w:color w:val="000000" w:themeColor="text1"/>
          <w:sz w:val="28"/>
          <w:szCs w:val="28"/>
          <w14:textFill>
            <w14:solidFill>
              <w14:schemeClr w14:val="tx1"/>
            </w14:solidFill>
          </w14:textFill>
        </w:rPr>
      </w:pPr>
    </w:p>
    <w:p>
      <w:pPr>
        <w:spacing w:line="360" w:lineRule="auto"/>
        <w:jc w:val="center"/>
        <w:rPr>
          <w:b/>
          <w:bCs/>
          <w:color w:val="000000" w:themeColor="text1"/>
          <w:sz w:val="36"/>
          <w:szCs w:val="36"/>
          <w14:textFill>
            <w14:solidFill>
              <w14:schemeClr w14:val="tx1"/>
            </w14:solidFill>
          </w14:textFill>
        </w:rPr>
      </w:pPr>
      <w:bookmarkStart w:id="907" w:name="_Toc32099_WPSOffice_Level1"/>
      <w:r>
        <w:rPr>
          <w:rFonts w:hint="eastAsia"/>
          <w:b/>
          <w:bCs/>
          <w:color w:val="000000" w:themeColor="text1"/>
          <w:sz w:val="36"/>
          <w:szCs w:val="36"/>
          <w14:textFill>
            <w14:solidFill>
              <w14:schemeClr w14:val="tx1"/>
            </w14:solidFill>
          </w14:textFill>
        </w:rPr>
        <w:t>莆田市城厢区人民政府集中式地表水饮用水水源地</w:t>
      </w:r>
      <w:bookmarkEnd w:id="907"/>
      <w:bookmarkStart w:id="908" w:name="_Toc12644_WPSOffice_Level1"/>
    </w:p>
    <w:p>
      <w:pPr>
        <w:spacing w:line="360" w:lineRule="auto"/>
        <w:jc w:val="center"/>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突发环境事件应急预案</w:t>
      </w:r>
      <w:bookmarkEnd w:id="908"/>
    </w:p>
    <w:p>
      <w:pPr>
        <w:spacing w:line="360" w:lineRule="auto"/>
        <w:jc w:val="center"/>
        <w:rPr>
          <w:b/>
          <w:bCs/>
          <w:color w:val="000000" w:themeColor="text1"/>
          <w:sz w:val="36"/>
          <w:szCs w:val="36"/>
          <w14:textFill>
            <w14:solidFill>
              <w14:schemeClr w14:val="tx1"/>
            </w14:solidFill>
          </w14:textFill>
        </w:rPr>
      </w:pPr>
      <w:bookmarkStart w:id="909" w:name="_Toc7130_WPSOffice_Level1"/>
      <w:r>
        <w:rPr>
          <w:rFonts w:hint="eastAsia"/>
          <w:b/>
          <w:bCs/>
          <w:color w:val="000000" w:themeColor="text1"/>
          <w:sz w:val="36"/>
          <w:szCs w:val="36"/>
          <w14:textFill>
            <w14:solidFill>
              <w14:schemeClr w14:val="tx1"/>
            </w14:solidFill>
          </w14:textFill>
        </w:rPr>
        <w:t>终止令</w:t>
      </w:r>
      <w:bookmarkEnd w:id="909"/>
    </w:p>
    <w:p>
      <w:pPr>
        <w:spacing w:line="360" w:lineRule="auto"/>
        <w:ind w:firstLine="562" w:firstLineChars="200"/>
        <w:rPr>
          <w:b/>
          <w:bCs/>
          <w:color w:val="000000" w:themeColor="text1"/>
          <w:sz w:val="28"/>
          <w:szCs w:val="28"/>
          <w14:textFill>
            <w14:solidFill>
              <w14:schemeClr w14:val="tx1"/>
            </w14:solidFill>
          </w14:textFill>
        </w:rPr>
      </w:pPr>
    </w:p>
    <w:p>
      <w:pPr>
        <w:spacing w:line="360" w:lineRule="auto"/>
        <w:ind w:firstLine="560" w:firstLineChars="200"/>
        <w:rPr>
          <w:color w:val="000000" w:themeColor="text1"/>
          <w:sz w:val="28"/>
          <w:szCs w:val="28"/>
          <w14:textFill>
            <w14:solidFill>
              <w14:schemeClr w14:val="tx1"/>
            </w14:solidFill>
          </w14:textFill>
        </w:rPr>
      </w:pPr>
    </w:p>
    <w:p>
      <w:pPr>
        <w:spacing w:line="360" w:lineRule="auto"/>
        <w:ind w:firstLine="560" w:firstLineChars="20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年</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月</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日，发生在</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(地点)的</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(事件名称)，其应急响应工作已经结束，现终止</w:t>
      </w:r>
      <w:r>
        <w:rPr>
          <w:rFonts w:hint="eastAsia"/>
          <w:color w:val="000000" w:themeColor="text1"/>
          <w:sz w:val="28"/>
          <w:szCs w:val="28"/>
          <w14:textFill>
            <w14:solidFill>
              <w14:schemeClr w14:val="tx1"/>
            </w14:solidFill>
          </w14:textFill>
        </w:rPr>
        <w:t>城厢区集中式地表水饮用水水源地</w:t>
      </w:r>
      <w:r>
        <w:rPr>
          <w:color w:val="000000" w:themeColor="text1"/>
          <w:sz w:val="28"/>
          <w:szCs w:val="28"/>
          <w14:textFill>
            <w14:solidFill>
              <w14:schemeClr w14:val="tx1"/>
            </w14:solidFill>
          </w14:textFill>
        </w:rPr>
        <w:t>突发环境事件应急响应，请各相关单位做好后续处置工作。</w:t>
      </w:r>
    </w:p>
    <w:p>
      <w:pPr>
        <w:spacing w:line="360" w:lineRule="auto"/>
        <w:ind w:firstLine="560" w:firstLineChars="200"/>
        <w:rPr>
          <w:color w:val="000000" w:themeColor="text1"/>
          <w:sz w:val="28"/>
          <w:szCs w:val="28"/>
          <w14:textFill>
            <w14:solidFill>
              <w14:schemeClr w14:val="tx1"/>
            </w14:solidFill>
          </w14:textFill>
        </w:rPr>
      </w:pPr>
    </w:p>
    <w:p>
      <w:pPr>
        <w:spacing w:line="360" w:lineRule="auto"/>
        <w:ind w:firstLine="560" w:firstLineChars="200"/>
        <w:rPr>
          <w:color w:val="000000" w:themeColor="text1"/>
          <w:sz w:val="28"/>
          <w:szCs w:val="28"/>
          <w14:textFill>
            <w14:solidFill>
              <w14:schemeClr w14:val="tx1"/>
            </w14:solidFill>
          </w14:textFill>
        </w:rPr>
      </w:pPr>
    </w:p>
    <w:p>
      <w:pPr>
        <w:spacing w:line="360" w:lineRule="auto"/>
        <w:ind w:firstLine="560" w:firstLineChars="200"/>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w:t>
      </w:r>
      <w:bookmarkStart w:id="910" w:name="_Toc31932_WPSOffice_Level1"/>
      <w:r>
        <w:rPr>
          <w:color w:val="000000" w:themeColor="text1"/>
          <w:sz w:val="28"/>
          <w:szCs w:val="28"/>
          <w14:textFill>
            <w14:solidFill>
              <w14:schemeClr w14:val="tx1"/>
            </w14:solidFill>
          </w14:textFill>
        </w:rPr>
        <w:t>签发人：</w:t>
      </w:r>
      <w:bookmarkEnd w:id="910"/>
    </w:p>
    <w:p>
      <w:pPr>
        <w:spacing w:line="360" w:lineRule="auto"/>
        <w:ind w:firstLine="7000" w:firstLineChars="2500"/>
        <w:rPr>
          <w:color w:val="000000" w:themeColor="text1"/>
          <w:sz w:val="28"/>
          <w:szCs w:val="28"/>
          <w14:textFill>
            <w14:solidFill>
              <w14:schemeClr w14:val="tx1"/>
            </w14:solidFill>
          </w14:textFill>
        </w:rPr>
        <w:sectPr>
          <w:pgSz w:w="11906" w:h="16838"/>
          <w:pgMar w:top="1134" w:right="1134" w:bottom="1134" w:left="1134" w:header="851" w:footer="992" w:gutter="0"/>
          <w:cols w:space="720" w:num="1"/>
          <w:docGrid w:type="lines" w:linePitch="312" w:charSpace="0"/>
        </w:sectPr>
      </w:pPr>
      <w:r>
        <w:rPr>
          <w:color w:val="000000" w:themeColor="text1"/>
          <w:sz w:val="28"/>
          <w:szCs w:val="28"/>
          <w14:textFill>
            <w14:solidFill>
              <w14:schemeClr w14:val="tx1"/>
            </w14:solidFill>
          </w14:textFill>
        </w:rPr>
        <w:t>年</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月</w: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日</w:t>
      </w:r>
    </w:p>
    <w:p>
      <w:pPr>
        <w:pStyle w:val="110"/>
        <w:spacing w:before="156" w:after="156"/>
        <w:rPr>
          <w:rFonts w:cs="黑体"/>
          <w:color w:val="000000" w:themeColor="text1"/>
          <w:sz w:val="24"/>
          <w:szCs w:val="24"/>
          <w14:textFill>
            <w14:solidFill>
              <w14:schemeClr w14:val="tx1"/>
            </w14:solidFill>
          </w14:textFill>
        </w:rPr>
      </w:pPr>
      <w:bookmarkStart w:id="911" w:name="_Toc17720"/>
      <w:r>
        <w:rPr>
          <w:rFonts w:hint="eastAsia" w:cs="黑体"/>
          <w:color w:val="000000" w:themeColor="text1"/>
          <w:sz w:val="24"/>
          <w:szCs w:val="24"/>
          <w14:textFill>
            <w14:solidFill>
              <w14:schemeClr w14:val="tx1"/>
            </w14:solidFill>
          </w14:textFill>
        </w:rPr>
        <w:t>附件</w:t>
      </w:r>
      <w:bookmarkEnd w:id="887"/>
      <w:r>
        <w:rPr>
          <w:rFonts w:hint="eastAsia"/>
          <w:color w:val="000000" w:themeColor="text1"/>
          <w:sz w:val="24"/>
          <w:szCs w:val="24"/>
          <w:lang w:val="en-US" w:eastAsia="zh-CN"/>
          <w14:textFill>
            <w14:solidFill>
              <w14:schemeClr w14:val="tx1"/>
            </w14:solidFill>
          </w14:textFill>
        </w:rPr>
        <w:t>9</w:t>
      </w:r>
      <w:r>
        <w:rPr>
          <w:rFonts w:hint="eastAsia"/>
          <w:color w:val="000000" w:themeColor="text1"/>
          <w:sz w:val="24"/>
          <w:szCs w:val="24"/>
          <w14:textFill>
            <w14:solidFill>
              <w14:schemeClr w14:val="tx1"/>
            </w14:solidFill>
          </w14:textFill>
        </w:rPr>
        <w:t>：突发环境事件应急结束宣布格式内容</w:t>
      </w:r>
      <w:bookmarkEnd w:id="911"/>
    </w:p>
    <w:p>
      <w:pPr>
        <w:pStyle w:val="78"/>
        <w:spacing w:before="156" w:after="156"/>
        <w:rPr>
          <w:rFonts w:ascii="黑体" w:hAnsi="黑体" w:cs="黑体"/>
          <w:color w:val="000000" w:themeColor="text1"/>
          <w:sz w:val="28"/>
          <w:szCs w:val="28"/>
          <w14:textFill>
            <w14:solidFill>
              <w14:schemeClr w14:val="tx1"/>
            </w14:solidFill>
          </w14:textFill>
        </w:rPr>
      </w:pPr>
      <w:bookmarkStart w:id="912" w:name="_Toc7735_WPSOffice_Level1"/>
      <w:r>
        <w:rPr>
          <w:rFonts w:hint="eastAsia"/>
          <w:b/>
          <w:bCs/>
          <w:color w:val="000000" w:themeColor="text1"/>
          <w:sz w:val="36"/>
          <w:szCs w:val="36"/>
          <w14:textFill>
            <w14:solidFill>
              <w14:schemeClr w14:val="tx1"/>
            </w14:solidFill>
          </w14:textFill>
        </w:rPr>
        <w:t>莆田市城厢区人民政府集中式地表水饮用水水源地</w:t>
      </w:r>
      <w:bookmarkEnd w:id="912"/>
    </w:p>
    <w:p>
      <w:pPr>
        <w:pStyle w:val="78"/>
        <w:spacing w:before="156" w:after="156"/>
        <w:rPr>
          <w:b/>
          <w:bCs/>
          <w:color w:val="000000" w:themeColor="text1"/>
          <w:sz w:val="36"/>
          <w:szCs w:val="36"/>
          <w14:textFill>
            <w14:solidFill>
              <w14:schemeClr w14:val="tx1"/>
            </w14:solidFill>
          </w14:textFill>
        </w:rPr>
      </w:pPr>
      <w:bookmarkStart w:id="913" w:name="_Toc16016_WPSOffice_Level1"/>
      <w:r>
        <w:rPr>
          <w:rFonts w:hint="eastAsia"/>
          <w:b/>
          <w:bCs/>
          <w:color w:val="000000" w:themeColor="text1"/>
          <w:sz w:val="36"/>
          <w:szCs w:val="36"/>
          <w14:textFill>
            <w14:solidFill>
              <w14:schemeClr w14:val="tx1"/>
            </w14:solidFill>
          </w14:textFill>
        </w:rPr>
        <w:t>突发环境事件应急结束宣布格式内容</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13"/>
    </w:p>
    <w:p>
      <w:pPr>
        <w:pStyle w:val="77"/>
        <w:rPr>
          <w:rFonts w:cs="宋体"/>
          <w:color w:val="000000" w:themeColor="text1"/>
          <w:sz w:val="28"/>
          <w:szCs w:val="28"/>
          <w14:textFill>
            <w14:solidFill>
              <w14:schemeClr w14:val="tx1"/>
            </w14:solidFill>
          </w14:textFill>
        </w:rPr>
      </w:pPr>
    </w:p>
    <w:p>
      <w:pPr>
        <w:pStyle w:val="77"/>
        <w:jc w:val="left"/>
        <w:rPr>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经过莆田市城厢区人民政府和</w:t>
      </w:r>
      <w:r>
        <w:rPr>
          <w:color w:val="000000" w:themeColor="text1"/>
          <w:sz w:val="28"/>
          <w:szCs w:val="28"/>
          <w14:textFill>
            <w14:solidFill>
              <w14:schemeClr w14:val="tx1"/>
            </w14:solidFill>
          </w14:textFill>
        </w:rPr>
        <w:t>_____________</w:t>
      </w:r>
      <w:r>
        <w:rPr>
          <w:rFonts w:hint="eastAsia" w:cs="宋体"/>
          <w:color w:val="000000" w:themeColor="text1"/>
          <w:sz w:val="28"/>
          <w:szCs w:val="28"/>
          <w14:textFill>
            <w14:solidFill>
              <w14:schemeClr w14:val="tx1"/>
            </w14:solidFill>
          </w14:textFill>
        </w:rPr>
        <w:t>专业（部门）的及时处理处置，发生在</w:t>
      </w:r>
      <w:r>
        <w:rPr>
          <w:color w:val="000000" w:themeColor="text1"/>
          <w:sz w:val="28"/>
          <w:szCs w:val="28"/>
          <w:u w:val="single"/>
          <w14:textFill>
            <w14:solidFill>
              <w14:schemeClr w14:val="tx1"/>
            </w14:solidFill>
          </w14:textFill>
        </w:rPr>
        <w:t xml:space="preserve">  </w:t>
      </w:r>
      <w:r>
        <w:rPr>
          <w:rFonts w:hint="eastAsia" w:cs="宋体"/>
          <w:color w:val="000000" w:themeColor="text1"/>
          <w:sz w:val="28"/>
          <w:szCs w:val="28"/>
          <w14:textFill>
            <w14:solidFill>
              <w14:schemeClr w14:val="tx1"/>
            </w14:solidFill>
          </w14:textFill>
        </w:rPr>
        <w:t>月</w:t>
      </w:r>
      <w:r>
        <w:rPr>
          <w:color w:val="000000" w:themeColor="text1"/>
          <w:sz w:val="28"/>
          <w:szCs w:val="28"/>
          <w14:textFill>
            <w14:solidFill>
              <w14:schemeClr w14:val="tx1"/>
            </w14:solidFill>
          </w14:textFill>
        </w:rPr>
        <w:t>___</w:t>
      </w:r>
      <w:r>
        <w:rPr>
          <w:rFonts w:hint="eastAsia" w:cs="宋体"/>
          <w:color w:val="000000" w:themeColor="text1"/>
          <w:sz w:val="28"/>
          <w:szCs w:val="28"/>
          <w14:textFill>
            <w14:solidFill>
              <w14:schemeClr w14:val="tx1"/>
            </w14:solidFill>
          </w14:textFill>
        </w:rPr>
        <w:t>日</w:t>
      </w:r>
      <w:r>
        <w:rPr>
          <w:color w:val="000000" w:themeColor="text1"/>
          <w:sz w:val="28"/>
          <w:szCs w:val="28"/>
          <w14:textFill>
            <w14:solidFill>
              <w14:schemeClr w14:val="tx1"/>
            </w14:solidFill>
          </w14:textFill>
        </w:rPr>
        <w:t>_________________________________</w:t>
      </w:r>
      <w:r>
        <w:rPr>
          <w:rFonts w:hint="eastAsia" w:cs="宋体"/>
          <w:color w:val="000000" w:themeColor="text1"/>
          <w:sz w:val="28"/>
          <w:szCs w:val="28"/>
          <w14:textFill>
            <w14:solidFill>
              <w14:schemeClr w14:val="tx1"/>
            </w14:solidFill>
          </w14:textFill>
        </w:rPr>
        <w:t>（地方）</w:t>
      </w:r>
      <w:r>
        <w:rPr>
          <w:rFonts w:hint="eastAsia" w:cs="宋体"/>
          <w:vanish/>
          <w:color w:val="000000" w:themeColor="text1"/>
          <w:sz w:val="28"/>
          <w:szCs w:val="28"/>
          <w14:textFill>
            <w14:solidFill>
              <w14:schemeClr w14:val="tx1"/>
            </w14:solidFill>
          </w14:textFill>
        </w:rPr>
        <w:t>饮用水水源地突发环境事件</w:t>
      </w:r>
      <w:r>
        <w:rPr>
          <w:rFonts w:hint="eastAsia" w:cs="宋体"/>
          <w:color w:val="000000" w:themeColor="text1"/>
          <w:sz w:val="28"/>
          <w:szCs w:val="28"/>
          <w14:textFill>
            <w14:solidFill>
              <w14:schemeClr w14:val="tx1"/>
            </w14:solidFill>
          </w14:textFill>
        </w:rPr>
        <w:t>救援工作基本结束，现场基本恢复，现场应急指挥部撤销，相关部门认真做好善后恢复工作。</w:t>
      </w:r>
    </w:p>
    <w:p>
      <w:pPr>
        <w:pStyle w:val="77"/>
        <w:rPr>
          <w:color w:val="000000" w:themeColor="text1"/>
          <w:sz w:val="28"/>
          <w:szCs w:val="28"/>
          <w14:textFill>
            <w14:solidFill>
              <w14:schemeClr w14:val="tx1"/>
            </w14:solidFill>
          </w14:textFill>
        </w:rPr>
      </w:pPr>
    </w:p>
    <w:p>
      <w:pPr>
        <w:pStyle w:val="77"/>
        <w:rPr>
          <w:color w:val="000000" w:themeColor="text1"/>
          <w:sz w:val="28"/>
          <w:szCs w:val="28"/>
          <w14:textFill>
            <w14:solidFill>
              <w14:schemeClr w14:val="tx1"/>
            </w14:solidFill>
          </w14:textFill>
        </w:rPr>
      </w:pPr>
    </w:p>
    <w:p>
      <w:pPr>
        <w:pStyle w:val="77"/>
        <w:rPr>
          <w:color w:val="000000" w:themeColor="text1"/>
          <w:sz w:val="28"/>
          <w:szCs w:val="28"/>
          <w14:textFill>
            <w14:solidFill>
              <w14:schemeClr w14:val="tx1"/>
            </w14:solidFill>
          </w14:textFill>
        </w:rPr>
      </w:pPr>
    </w:p>
    <w:p>
      <w:pPr>
        <w:pStyle w:val="77"/>
        <w:ind w:right="526"/>
        <w:jc w:val="right"/>
        <w:rPr>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莆田市城厢区人民政府</w:t>
      </w:r>
    </w:p>
    <w:p>
      <w:pPr>
        <w:pStyle w:val="77"/>
        <w:ind w:right="480"/>
        <w:jc w:val="right"/>
        <w:rPr>
          <w:color w:val="000000" w:themeColor="text1"/>
          <w:sz w:val="28"/>
          <w:szCs w:val="28"/>
          <w14:textFill>
            <w14:solidFill>
              <w14:schemeClr w14:val="tx1"/>
            </w14:solidFill>
          </w14:textFill>
        </w:rPr>
      </w:pPr>
      <w:r>
        <w:rPr>
          <w:rFonts w:hint="eastAsia" w:cs="宋体"/>
          <w:color w:val="000000" w:themeColor="text1"/>
          <w:sz w:val="28"/>
          <w:szCs w:val="28"/>
          <w14:textFill>
            <w14:solidFill>
              <w14:schemeClr w14:val="tx1"/>
            </w14:solidFill>
          </w14:textFill>
        </w:rPr>
        <w:t xml:space="preserve">                          年 </w:t>
      </w:r>
      <w:r>
        <w:rPr>
          <w:rFonts w:hint="eastAsia" w:cs="宋体"/>
          <w:color w:val="000000" w:themeColor="text1"/>
          <w:sz w:val="28"/>
          <w:szCs w:val="28"/>
          <w:lang w:val="en-US" w:eastAsia="zh-CN"/>
          <w14:textFill>
            <w14:solidFill>
              <w14:schemeClr w14:val="tx1"/>
            </w14:solidFill>
          </w14:textFill>
        </w:rPr>
        <w:t xml:space="preserve"> </w:t>
      </w:r>
      <w:r>
        <w:rPr>
          <w:rFonts w:hint="eastAsia" w:cs="宋体"/>
          <w:color w:val="000000" w:themeColor="text1"/>
          <w:sz w:val="28"/>
          <w:szCs w:val="28"/>
          <w14:textFill>
            <w14:solidFill>
              <w14:schemeClr w14:val="tx1"/>
            </w14:solidFill>
          </w14:textFill>
        </w:rPr>
        <w:t xml:space="preserve">月 </w:t>
      </w:r>
      <w:r>
        <w:rPr>
          <w:rFonts w:hint="eastAsia" w:cs="宋体"/>
          <w:color w:val="000000" w:themeColor="text1"/>
          <w:sz w:val="28"/>
          <w:szCs w:val="28"/>
          <w:lang w:val="en-US" w:eastAsia="zh-CN"/>
          <w14:textFill>
            <w14:solidFill>
              <w14:schemeClr w14:val="tx1"/>
            </w14:solidFill>
          </w14:textFill>
        </w:rPr>
        <w:t xml:space="preserve"> </w:t>
      </w:r>
      <w:r>
        <w:rPr>
          <w:rFonts w:hint="eastAsia" w:cs="宋体"/>
          <w:color w:val="000000" w:themeColor="text1"/>
          <w:sz w:val="28"/>
          <w:szCs w:val="28"/>
          <w14:textFill>
            <w14:solidFill>
              <w14:schemeClr w14:val="tx1"/>
            </w14:solidFill>
          </w14:textFill>
        </w:rPr>
        <w:t>日</w:t>
      </w:r>
    </w:p>
    <w:p>
      <w:pPr>
        <w:pStyle w:val="77"/>
        <w:ind w:firstLine="640"/>
        <w:rPr>
          <w:color w:val="000000" w:themeColor="text1"/>
          <w:sz w:val="32"/>
          <w:szCs w:val="32"/>
          <w14:textFill>
            <w14:solidFill>
              <w14:schemeClr w14:val="tx1"/>
            </w14:solidFill>
          </w14:textFill>
        </w:rPr>
      </w:pPr>
    </w:p>
    <w:p>
      <w:pPr>
        <w:pStyle w:val="77"/>
        <w:ind w:firstLine="0" w:firstLineChars="0"/>
        <w:rPr>
          <w:b/>
          <w:bCs/>
          <w:color w:val="000000" w:themeColor="text1"/>
          <w14:textFill>
            <w14:solidFill>
              <w14:schemeClr w14:val="tx1"/>
            </w14:solidFill>
          </w14:textFill>
        </w:rPr>
      </w:pPr>
    </w:p>
    <w:p>
      <w:pPr>
        <w:pStyle w:val="77"/>
        <w:ind w:firstLine="0" w:firstLineChars="0"/>
        <w:rPr>
          <w:b/>
          <w:bCs/>
          <w:color w:val="000000" w:themeColor="text1"/>
          <w14:textFill>
            <w14:solidFill>
              <w14:schemeClr w14:val="tx1"/>
            </w14:solidFill>
          </w14:textFill>
        </w:rPr>
      </w:pPr>
    </w:p>
    <w:p>
      <w:pPr>
        <w:pStyle w:val="77"/>
        <w:ind w:firstLine="0" w:firstLineChars="0"/>
        <w:rPr>
          <w:b/>
          <w:bCs/>
          <w:color w:val="000000" w:themeColor="text1"/>
          <w14:textFill>
            <w14:solidFill>
              <w14:schemeClr w14:val="tx1"/>
            </w14:solidFill>
          </w14:textFill>
        </w:rPr>
      </w:pPr>
    </w:p>
    <w:p>
      <w:pPr>
        <w:pStyle w:val="77"/>
        <w:ind w:firstLine="0" w:firstLineChars="0"/>
        <w:rPr>
          <w:b/>
          <w:bCs/>
          <w:color w:val="000000" w:themeColor="text1"/>
          <w14:textFill>
            <w14:solidFill>
              <w14:schemeClr w14:val="tx1"/>
            </w14:solidFill>
          </w14:textFill>
        </w:rPr>
      </w:pPr>
    </w:p>
    <w:p>
      <w:pPr>
        <w:pStyle w:val="77"/>
        <w:ind w:firstLine="0" w:firstLineChars="0"/>
        <w:rPr>
          <w:b/>
          <w:bCs/>
          <w:color w:val="000000" w:themeColor="text1"/>
          <w14:textFill>
            <w14:solidFill>
              <w14:schemeClr w14:val="tx1"/>
            </w14:solidFill>
          </w14:textFill>
        </w:rPr>
      </w:pPr>
    </w:p>
    <w:p>
      <w:pPr>
        <w:pStyle w:val="77"/>
        <w:ind w:firstLine="0" w:firstLineChars="0"/>
        <w:rPr>
          <w:b/>
          <w:bCs/>
          <w:color w:val="000000" w:themeColor="text1"/>
          <w14:textFill>
            <w14:solidFill>
              <w14:schemeClr w14:val="tx1"/>
            </w14:solidFill>
          </w14:textFill>
        </w:rPr>
      </w:pPr>
    </w:p>
    <w:p>
      <w:pPr>
        <w:pStyle w:val="77"/>
        <w:ind w:firstLine="0" w:firstLineChars="0"/>
        <w:rPr>
          <w:b/>
          <w:bCs/>
          <w:color w:val="000000" w:themeColor="text1"/>
          <w14:textFill>
            <w14:solidFill>
              <w14:schemeClr w14:val="tx1"/>
            </w14:solidFill>
          </w14:textFill>
        </w:rPr>
      </w:pPr>
    </w:p>
    <w:p>
      <w:pPr>
        <w:pStyle w:val="77"/>
        <w:ind w:firstLine="0" w:firstLineChars="0"/>
        <w:rPr>
          <w:b/>
          <w:bCs/>
          <w:color w:val="000000" w:themeColor="text1"/>
          <w14:textFill>
            <w14:solidFill>
              <w14:schemeClr w14:val="tx1"/>
            </w14:solidFill>
          </w14:textFill>
        </w:rPr>
      </w:pPr>
    </w:p>
    <w:p>
      <w:pPr>
        <w:pStyle w:val="77"/>
        <w:ind w:firstLine="0" w:firstLineChars="0"/>
        <w:rPr>
          <w:b/>
          <w:bCs/>
          <w:color w:val="000000" w:themeColor="text1"/>
          <w14:textFill>
            <w14:solidFill>
              <w14:schemeClr w14:val="tx1"/>
            </w14:solidFill>
          </w14:textFill>
        </w:rPr>
      </w:pPr>
    </w:p>
    <w:p>
      <w:pPr>
        <w:pStyle w:val="110"/>
        <w:spacing w:before="156" w:after="156"/>
        <w:rPr>
          <w:rFonts w:ascii="黑体" w:hAnsi="黑体" w:cs="黑体"/>
          <w:color w:val="000000" w:themeColor="text1"/>
          <w:sz w:val="24"/>
          <w:szCs w:val="24"/>
          <w14:textFill>
            <w14:solidFill>
              <w14:schemeClr w14:val="tx1"/>
            </w14:solidFill>
          </w14:textFill>
        </w:rPr>
      </w:pPr>
      <w:bookmarkStart w:id="914" w:name="_Toc7694"/>
      <w:bookmarkStart w:id="915" w:name="_Toc22372"/>
      <w:bookmarkStart w:id="916" w:name="_Toc522893273"/>
      <w:bookmarkStart w:id="917" w:name="_Toc528234283"/>
      <w:bookmarkStart w:id="918" w:name="_Toc529453147"/>
      <w:bookmarkStart w:id="919" w:name="_Toc523220146"/>
      <w:bookmarkStart w:id="920" w:name="_Toc529453301"/>
      <w:bookmarkStart w:id="921" w:name="_Toc523223930"/>
      <w:bookmarkStart w:id="922" w:name="_Toc523153577"/>
      <w:bookmarkStart w:id="923" w:name="_Toc20586"/>
      <w:bookmarkStart w:id="924" w:name="_Toc523219631"/>
      <w:bookmarkStart w:id="925" w:name="_Toc214963599"/>
      <w:bookmarkStart w:id="926" w:name="_Toc144871296"/>
      <w:bookmarkStart w:id="927" w:name="_Toc523223390"/>
      <w:bookmarkStart w:id="928" w:name="_Toc523219342"/>
      <w:bookmarkStart w:id="929" w:name="_Toc13544"/>
      <w:bookmarkStart w:id="930" w:name="_Toc29867"/>
      <w:bookmarkStart w:id="931" w:name="_Toc527026607"/>
      <w:bookmarkStart w:id="932" w:name="_Toc5421"/>
      <w:r>
        <w:rPr>
          <w:rFonts w:hint="eastAsia" w:cs="黑体"/>
          <w:color w:val="000000" w:themeColor="text1"/>
          <w:sz w:val="24"/>
          <w:szCs w:val="24"/>
          <w14:textFill>
            <w14:solidFill>
              <w14:schemeClr w14:val="tx1"/>
            </w14:solidFill>
          </w14:textFill>
        </w:rPr>
        <w:t>附件</w:t>
      </w:r>
      <w:r>
        <w:rPr>
          <w:color w:val="000000" w:themeColor="text1"/>
          <w:sz w:val="24"/>
          <w:szCs w:val="24"/>
          <w14:textFill>
            <w14:solidFill>
              <w14:schemeClr w14:val="tx1"/>
            </w14:solidFill>
          </w14:textFill>
        </w:rPr>
        <w:t>1</w:t>
      </w:r>
      <w:bookmarkEnd w:id="914"/>
      <w:bookmarkEnd w:id="915"/>
      <w:r>
        <w:rPr>
          <w:rFonts w:hint="eastAsia"/>
          <w:color w:val="000000" w:themeColor="text1"/>
          <w:sz w:val="24"/>
          <w:szCs w:val="24"/>
          <w:lang w:val="en-US" w:eastAsia="zh-CN"/>
          <w14:textFill>
            <w14:solidFill>
              <w14:schemeClr w14:val="tx1"/>
            </w14:solidFill>
          </w14:textFill>
        </w:rPr>
        <w:t>0</w:t>
      </w:r>
      <w:r>
        <w:rPr>
          <w:rFonts w:hint="eastAsia"/>
          <w:color w:val="000000" w:themeColor="text1"/>
          <w:sz w:val="24"/>
          <w:szCs w:val="24"/>
          <w14:textFill>
            <w14:solidFill>
              <w14:schemeClr w14:val="tx1"/>
            </w14:solidFill>
          </w14:textFill>
        </w:rPr>
        <w:t>：</w:t>
      </w:r>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Start w:id="933" w:name="_Hlk522028939"/>
      <w:bookmarkEnd w:id="933"/>
      <w:r>
        <w:rPr>
          <w:rFonts w:hint="eastAsia" w:ascii="黑体" w:hAnsi="黑体" w:cs="黑体"/>
          <w:color w:val="000000" w:themeColor="text1"/>
          <w:sz w:val="24"/>
          <w:szCs w:val="24"/>
          <w14:textFill>
            <w14:solidFill>
              <w14:schemeClr w14:val="tx1"/>
            </w14:solidFill>
          </w14:textFill>
        </w:rPr>
        <w:t>城厢区集中式地表水饮用水水源地突发环境事件相关应急部门及单位联系方式</w:t>
      </w:r>
      <w:bookmarkEnd w:id="932"/>
    </w:p>
    <w:p>
      <w:pPr>
        <w:pStyle w:val="78"/>
        <w:spacing w:before="156" w:after="156" w:line="240" w:lineRule="auto"/>
        <w:rPr>
          <w:rFonts w:ascii="黑体" w:hAnsi="黑体" w:cs="黑体"/>
          <w:color w:val="000000" w:themeColor="text1"/>
          <w:sz w:val="24"/>
          <w:szCs w:val="24"/>
          <w14:textFill>
            <w14:solidFill>
              <w14:schemeClr w14:val="tx1"/>
            </w14:solidFill>
          </w14:textFill>
        </w:rPr>
      </w:pPr>
      <w:r>
        <w:rPr>
          <w:rFonts w:hint="eastAsia" w:ascii="黑体" w:hAnsi="黑体" w:cs="黑体"/>
          <w:color w:val="000000" w:themeColor="text1"/>
          <w:sz w:val="24"/>
          <w:szCs w:val="24"/>
          <w14:textFill>
            <w14:solidFill>
              <w14:schemeClr w14:val="tx1"/>
            </w14:solidFill>
          </w14:textFill>
        </w:rPr>
        <w:t>表1城厢区相关应急部门及单位联系方式</w:t>
      </w:r>
    </w:p>
    <w:tbl>
      <w:tblPr>
        <w:tblStyle w:val="39"/>
        <w:tblW w:w="79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05"/>
        <w:gridCol w:w="4458"/>
        <w:gridCol w:w="25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tblHeader/>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b/>
                <w:bCs/>
                <w:color w:val="000000" w:themeColor="text1"/>
                <w14:textFill>
                  <w14:solidFill>
                    <w14:schemeClr w14:val="tx1"/>
                  </w14:solidFill>
                </w14:textFill>
              </w:rPr>
            </w:pPr>
            <w:r>
              <w:rPr>
                <w:rFonts w:eastAsiaTheme="majorEastAsia"/>
                <w:b/>
                <w:bCs/>
                <w:color w:val="000000" w:themeColor="text1"/>
                <w14:textFill>
                  <w14:solidFill>
                    <w14:schemeClr w14:val="tx1"/>
                  </w14:solidFill>
                </w14:textFill>
              </w:rPr>
              <w:t>序号</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b/>
                <w:bCs/>
                <w:color w:val="000000" w:themeColor="text1"/>
                <w14:textFill>
                  <w14:solidFill>
                    <w14:schemeClr w14:val="tx1"/>
                  </w14:solidFill>
                </w14:textFill>
              </w:rPr>
            </w:pPr>
            <w:r>
              <w:rPr>
                <w:rFonts w:eastAsiaTheme="majorEastAsia"/>
                <w:b/>
                <w:bCs/>
                <w:color w:val="000000" w:themeColor="text1"/>
                <w14:textFill>
                  <w14:solidFill>
                    <w14:schemeClr w14:val="tx1"/>
                  </w14:solidFill>
                </w14:textFill>
              </w:rPr>
              <w:t>部门/单位</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b/>
                <w:bCs/>
                <w:color w:val="000000" w:themeColor="text1"/>
                <w14:textFill>
                  <w14:solidFill>
                    <w14:schemeClr w14:val="tx1"/>
                  </w14:solidFill>
                </w14:textFill>
              </w:rPr>
            </w:pPr>
            <w:r>
              <w:rPr>
                <w:rFonts w:eastAsiaTheme="majorEastAsia"/>
                <w:b/>
                <w:bCs/>
                <w:color w:val="000000" w:themeColor="text1"/>
                <w14:textFill>
                  <w14:solidFill>
                    <w14:schemeClr w14:val="tx1"/>
                  </w14:solidFill>
                </w14:textFill>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1</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莆田市城厢区人民政府</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（办）0594-2693753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2</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城厢区应急管理局</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（值）0594-2656133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3</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城厢生态环境局</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（值）0594-2680368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4</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hint="eastAsia" w:eastAsiaTheme="majorEastAsia"/>
                <w:color w:val="000000" w:themeColor="text1"/>
                <w14:textFill>
                  <w14:solidFill>
                    <w14:schemeClr w14:val="tx1"/>
                  </w14:solidFill>
                </w14:textFill>
              </w:rPr>
              <w:t>区委宣传部</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（值）0594-2693221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5</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w:t>
            </w:r>
            <w:r>
              <w:rPr>
                <w:rFonts w:hint="eastAsia" w:eastAsiaTheme="majorEastAsia"/>
                <w:color w:val="000000" w:themeColor="text1"/>
                <w14:textFill>
                  <w14:solidFill>
                    <w14:schemeClr w14:val="tx1"/>
                  </w14:solidFill>
                </w14:textFill>
              </w:rPr>
              <w:t>气象局</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（值）0594-2672595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6</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w:t>
            </w:r>
            <w:r>
              <w:rPr>
                <w:rFonts w:hint="eastAsia" w:eastAsiaTheme="majorEastAsia"/>
                <w:color w:val="000000" w:themeColor="text1"/>
                <w14:textFill>
                  <w14:solidFill>
                    <w14:schemeClr w14:val="tx1"/>
                  </w14:solidFill>
                </w14:textFill>
              </w:rPr>
              <w:t>环卫处</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（值）0594-2692749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7</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城厢区公安局</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（值）0594-2682500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8</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城厢区民政局</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（值）0594-2691701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9</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城厢区财政局</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（值）0594-2678658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10</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城厢区住建局</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（值）0594-2693860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11</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城厢区交通运输局</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（值）0594-2690412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12</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城厢区水利局</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（值）0594-2686702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13</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城厢区农业农村局</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（值）0594-2686709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14</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城厢区卫生健康局</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（值）0594-26904942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15</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城厢区自然资源局</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（值）0594-2694970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16</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城厢区电信公司</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17</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城厢区移动公司</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10086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18</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城厢区联通公司</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100</w:t>
            </w:r>
            <w:r>
              <w:rPr>
                <w:rFonts w:hint="eastAsia" w:eastAsiaTheme="majorEastAsia"/>
                <w:color w:val="000000" w:themeColor="text1"/>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19</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城厢区消防大队</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（值）0594-2784559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20</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城厢区医院</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（值）0594-2385789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21</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常太镇人民政府</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（值）0594-2800070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22</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华亭镇人民政府</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（值）0594-6738996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23</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灵川镇人民政府</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（值）0594-5397905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24</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东海镇人民政府</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（值）0594-5363555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25</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东圳水库管理局</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（值）0594-2788931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26</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桂山水库管理所</w:t>
            </w:r>
          </w:p>
        </w:tc>
        <w:tc>
          <w:tcPr>
            <w:tcW w:w="2594" w:type="dxa"/>
            <w:tcBorders>
              <w:tl2br w:val="nil"/>
              <w:tr2bl w:val="nil"/>
            </w:tcBorders>
            <w:shd w:val="clear" w:color="auto" w:fill="auto"/>
            <w:tcMar>
              <w:left w:w="108" w:type="dxa"/>
              <w:right w:w="108" w:type="dxa"/>
            </w:tcMar>
            <w:vAlign w:val="center"/>
          </w:tcPr>
          <w:p>
            <w:pPr>
              <w:widowControl/>
              <w:jc w:val="center"/>
              <w:rPr>
                <w:rFonts w:hint="default" w:eastAsiaTheme="majorEastAsia"/>
                <w:color w:val="000000" w:themeColor="text1"/>
                <w:lang w:val="en-US" w:eastAsia="zh-CN"/>
                <w14:textFill>
                  <w14:solidFill>
                    <w14:schemeClr w14:val="tx1"/>
                  </w14:solidFill>
                </w14:textFill>
              </w:rPr>
            </w:pPr>
            <w:r>
              <w:rPr>
                <w:rFonts w:hint="eastAsia" w:eastAsiaTheme="majorEastAsia"/>
                <w:color w:val="000000" w:themeColor="text1"/>
                <w:lang w:eastAsia="zh-CN"/>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27</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海头水库管理所</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28</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径里水库管理所</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29</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朝阳水库</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30</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院里水库</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31</w:t>
            </w:r>
          </w:p>
        </w:tc>
        <w:tc>
          <w:tcPr>
            <w:tcW w:w="4458"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红旗水库</w:t>
            </w:r>
          </w:p>
        </w:tc>
        <w:tc>
          <w:tcPr>
            <w:tcW w:w="2594"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32</w:t>
            </w:r>
          </w:p>
        </w:tc>
        <w:tc>
          <w:tcPr>
            <w:tcW w:w="4458" w:type="dxa"/>
            <w:tcBorders>
              <w:tl2br w:val="nil"/>
              <w:tr2bl w:val="nil"/>
            </w:tcBorders>
            <w:shd w:val="clear" w:color="auto" w:fill="auto"/>
            <w:tcMar>
              <w:left w:w="108" w:type="dxa"/>
              <w:right w:w="108" w:type="dxa"/>
            </w:tcMar>
            <w:vAlign w:val="center"/>
          </w:tcPr>
          <w:p>
            <w:pPr>
              <w:widowControl/>
              <w:spacing w:line="280" w:lineRule="exact"/>
              <w:jc w:val="center"/>
              <w:rPr>
                <w:color w:val="000000" w:themeColor="text1"/>
                <w14:textFill>
                  <w14:solidFill>
                    <w14:schemeClr w14:val="tx1"/>
                  </w14:solidFill>
                </w14:textFill>
              </w:rPr>
            </w:pPr>
            <w:r>
              <w:rPr>
                <w:color w:val="000000" w:themeColor="text1"/>
                <w14:textFill>
                  <w14:solidFill>
                    <w14:schemeClr w14:val="tx1"/>
                  </w14:solidFill>
                </w14:textFill>
              </w:rPr>
              <w:t>华源自来水有限公司（朝阳水库）</w:t>
            </w:r>
          </w:p>
        </w:tc>
        <w:tc>
          <w:tcPr>
            <w:tcW w:w="2594" w:type="dxa"/>
            <w:tcBorders>
              <w:tl2br w:val="nil"/>
              <w:tr2bl w:val="nil"/>
            </w:tcBorders>
            <w:shd w:val="clear" w:color="auto" w:fill="auto"/>
            <w:tcMar>
              <w:left w:w="108" w:type="dxa"/>
              <w:right w:w="108" w:type="dxa"/>
            </w:tcMar>
            <w:vAlign w:val="center"/>
          </w:tcPr>
          <w:p>
            <w:pPr>
              <w:widowControl/>
              <w:spacing w:line="28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33</w:t>
            </w:r>
          </w:p>
        </w:tc>
        <w:tc>
          <w:tcPr>
            <w:tcW w:w="4458" w:type="dxa"/>
            <w:tcBorders>
              <w:tl2br w:val="nil"/>
              <w:tr2bl w:val="nil"/>
            </w:tcBorders>
            <w:shd w:val="clear" w:color="auto" w:fill="auto"/>
            <w:tcMar>
              <w:left w:w="108" w:type="dxa"/>
              <w:right w:w="108" w:type="dxa"/>
            </w:tcMar>
            <w:vAlign w:val="center"/>
          </w:tcPr>
          <w:p>
            <w:pPr>
              <w:widowControl/>
              <w:spacing w:line="280" w:lineRule="exact"/>
              <w:jc w:val="center"/>
              <w:rPr>
                <w:color w:val="000000" w:themeColor="text1"/>
                <w14:textFill>
                  <w14:solidFill>
                    <w14:schemeClr w14:val="tx1"/>
                  </w14:solidFill>
                </w14:textFill>
              </w:rPr>
            </w:pPr>
            <w:r>
              <w:rPr>
                <w:color w:val="000000" w:themeColor="text1"/>
                <w14:textFill>
                  <w14:solidFill>
                    <w14:schemeClr w14:val="tx1"/>
                  </w14:solidFill>
                </w14:textFill>
              </w:rPr>
              <w:t>华源自来水有限公司（院里水库）</w:t>
            </w:r>
          </w:p>
        </w:tc>
        <w:tc>
          <w:tcPr>
            <w:tcW w:w="2594" w:type="dxa"/>
            <w:tcBorders>
              <w:tl2br w:val="nil"/>
              <w:tr2bl w:val="nil"/>
            </w:tcBorders>
            <w:shd w:val="clear" w:color="auto" w:fill="auto"/>
            <w:tcMar>
              <w:left w:w="108" w:type="dxa"/>
              <w:right w:w="108" w:type="dxa"/>
            </w:tcMar>
            <w:vAlign w:val="center"/>
          </w:tcPr>
          <w:p>
            <w:pPr>
              <w:widowControl/>
              <w:spacing w:line="28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tcBorders>
              <w:tl2br w:val="nil"/>
              <w:tr2bl w:val="nil"/>
            </w:tcBorders>
            <w:shd w:val="clear" w:color="auto" w:fill="auto"/>
            <w:tcMar>
              <w:left w:w="108" w:type="dxa"/>
              <w:right w:w="108" w:type="dxa"/>
            </w:tcMar>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34</w:t>
            </w:r>
          </w:p>
        </w:tc>
        <w:tc>
          <w:tcPr>
            <w:tcW w:w="4458" w:type="dxa"/>
            <w:tcBorders>
              <w:tl2br w:val="nil"/>
              <w:tr2bl w:val="nil"/>
            </w:tcBorders>
            <w:shd w:val="clear" w:color="auto" w:fill="auto"/>
            <w:tcMar>
              <w:left w:w="108" w:type="dxa"/>
              <w:right w:w="108" w:type="dxa"/>
            </w:tcMar>
            <w:vAlign w:val="center"/>
          </w:tcPr>
          <w:p>
            <w:pPr>
              <w:widowControl/>
              <w:spacing w:line="280" w:lineRule="exact"/>
              <w:jc w:val="center"/>
              <w:rPr>
                <w:color w:val="000000" w:themeColor="text1"/>
                <w14:textFill>
                  <w14:solidFill>
                    <w14:schemeClr w14:val="tx1"/>
                  </w14:solidFill>
                </w14:textFill>
              </w:rPr>
            </w:pPr>
            <w:r>
              <w:rPr>
                <w:color w:val="000000" w:themeColor="text1"/>
                <w14:textFill>
                  <w14:solidFill>
                    <w14:schemeClr w14:val="tx1"/>
                  </w14:solidFill>
                </w14:textFill>
              </w:rPr>
              <w:t>湄洲湾自来水有限公司东海供水站（海头水库）</w:t>
            </w:r>
          </w:p>
        </w:tc>
        <w:tc>
          <w:tcPr>
            <w:tcW w:w="2594" w:type="dxa"/>
            <w:tcBorders>
              <w:tl2br w:val="nil"/>
              <w:tr2bl w:val="nil"/>
            </w:tcBorders>
            <w:shd w:val="clear" w:color="auto" w:fill="auto"/>
            <w:tcMar>
              <w:left w:w="108" w:type="dxa"/>
              <w:right w:w="108" w:type="dxa"/>
            </w:tcMar>
            <w:vAlign w:val="center"/>
          </w:tcPr>
          <w:p>
            <w:pPr>
              <w:widowControl/>
              <w:spacing w:line="280" w:lineRule="exact"/>
              <w:jc w:val="center"/>
              <w:rPr>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905" w:type="dxa"/>
            <w:vAlign w:val="center"/>
          </w:tcPr>
          <w:p>
            <w:pPr>
              <w:widowControl/>
              <w:jc w:val="center"/>
              <w:rPr>
                <w:rFonts w:eastAsiaTheme="majorEastAsia"/>
                <w:color w:val="000000" w:themeColor="text1"/>
                <w14:textFill>
                  <w14:solidFill>
                    <w14:schemeClr w14:val="tx1"/>
                  </w14:solidFill>
                </w14:textFill>
              </w:rPr>
            </w:pPr>
            <w:r>
              <w:rPr>
                <w:rFonts w:eastAsiaTheme="majorEastAsia"/>
                <w:color w:val="000000" w:themeColor="text1"/>
                <w14:textFill>
                  <w14:solidFill>
                    <w14:schemeClr w14:val="tx1"/>
                  </w14:solidFill>
                </w14:textFill>
              </w:rPr>
              <w:t>35</w:t>
            </w:r>
          </w:p>
        </w:tc>
        <w:tc>
          <w:tcPr>
            <w:tcW w:w="4458" w:type="dxa"/>
            <w:vAlign w:val="center"/>
          </w:tcPr>
          <w:p>
            <w:pPr>
              <w:widowControl/>
              <w:spacing w:line="280" w:lineRule="exact"/>
              <w:jc w:val="center"/>
              <w:rPr>
                <w:color w:val="000000" w:themeColor="text1"/>
                <w14:textFill>
                  <w14:solidFill>
                    <w14:schemeClr w14:val="tx1"/>
                  </w14:solidFill>
                </w14:textFill>
              </w:rPr>
            </w:pPr>
            <w:r>
              <w:rPr>
                <w:color w:val="000000" w:themeColor="text1"/>
                <w14:textFill>
                  <w14:solidFill>
                    <w14:schemeClr w14:val="tx1"/>
                  </w14:solidFill>
                </w14:textFill>
              </w:rPr>
              <w:t>云峰自来水厂（红旗水库）</w:t>
            </w:r>
          </w:p>
        </w:tc>
        <w:tc>
          <w:tcPr>
            <w:tcW w:w="2594" w:type="dxa"/>
            <w:vAlign w:val="center"/>
          </w:tcPr>
          <w:p>
            <w:pPr>
              <w:widowControl/>
              <w:spacing w:line="280" w:lineRule="exact"/>
              <w:jc w:val="center"/>
              <w:rPr>
                <w:rFonts w:hint="default"/>
                <w:color w:val="000000" w:themeColor="text1"/>
                <w:lang w:val="en-US"/>
                <w14:textFill>
                  <w14:solidFill>
                    <w14:schemeClr w14:val="tx1"/>
                  </w14:solidFill>
                </w14:textFill>
              </w:rPr>
            </w:pPr>
          </w:p>
        </w:tc>
      </w:tr>
    </w:tbl>
    <w:p>
      <w:pPr>
        <w:pStyle w:val="78"/>
        <w:spacing w:before="156" w:after="156" w:line="240" w:lineRule="auto"/>
        <w:rPr>
          <w:rFonts w:ascii="黑体" w:hAnsi="黑体" w:cs="黑体"/>
          <w:color w:val="000000" w:themeColor="text1"/>
          <w:sz w:val="24"/>
          <w:szCs w:val="24"/>
          <w14:textFill>
            <w14:solidFill>
              <w14:schemeClr w14:val="tx1"/>
            </w14:solidFill>
          </w14:textFill>
        </w:rPr>
      </w:pPr>
      <w:r>
        <w:rPr>
          <w:rFonts w:hint="eastAsia" w:ascii="黑体" w:hAnsi="黑体" w:cs="黑体"/>
          <w:color w:val="000000" w:themeColor="text1"/>
          <w:sz w:val="24"/>
          <w:szCs w:val="24"/>
          <w14:textFill>
            <w14:solidFill>
              <w14:schemeClr w14:val="tx1"/>
            </w14:solidFill>
          </w14:textFill>
        </w:rPr>
        <w:t>表2外部应急部门及单位联系方式及专家组联系方式</w:t>
      </w:r>
      <w:bookmarkStart w:id="934" w:name="_Toc7068_WPSOffice_Level1"/>
    </w:p>
    <w:p>
      <w:pPr>
        <w:pStyle w:val="78"/>
        <w:spacing w:before="156" w:after="156" w:line="240" w:lineRule="auto"/>
        <w:jc w:val="left"/>
        <w:rPr>
          <w:rFonts w:ascii="黑体" w:hAnsi="黑体" w:cs="黑体"/>
          <w:color w:val="000000" w:themeColor="text1"/>
          <w:sz w:val="24"/>
          <w:szCs w:val="24"/>
          <w14:textFill>
            <w14:solidFill>
              <w14:schemeClr w14:val="tx1"/>
            </w14:solidFill>
          </w14:textFill>
        </w:rPr>
      </w:pPr>
      <w:r>
        <w:rPr>
          <w:rFonts w:hint="eastAsia" w:ascii="黑体" w:hAnsi="黑体" w:cs="黑体"/>
          <w:color w:val="000000" w:themeColor="text1"/>
          <w:sz w:val="24"/>
          <w:szCs w:val="24"/>
          <w14:textFill>
            <w14:solidFill>
              <w14:schemeClr w14:val="tx1"/>
            </w14:solidFill>
          </w14:textFill>
        </w:rPr>
        <w:t>（1）应急部门及单位组成</w:t>
      </w:r>
      <w:bookmarkEnd w:id="934"/>
    </w:p>
    <w:bookmarkEnd w:id="15"/>
    <w:bookmarkEnd w:id="55"/>
    <w:tbl>
      <w:tblPr>
        <w:tblStyle w:val="39"/>
        <w:tblW w:w="962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408"/>
        <w:gridCol w:w="2097"/>
        <w:gridCol w:w="2999"/>
        <w:gridCol w:w="211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3" w:hRule="exact"/>
          <w:jc w:val="center"/>
        </w:trPr>
        <w:tc>
          <w:tcPr>
            <w:tcW w:w="2408"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单位名称</w:t>
            </w:r>
          </w:p>
        </w:tc>
        <w:tc>
          <w:tcPr>
            <w:tcW w:w="2097"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联系电话</w:t>
            </w:r>
          </w:p>
        </w:tc>
        <w:tc>
          <w:tcPr>
            <w:tcW w:w="2999"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单位名称</w:t>
            </w:r>
          </w:p>
        </w:tc>
        <w:tc>
          <w:tcPr>
            <w:tcW w:w="2117"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联系电话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9" w:hRule="exact"/>
          <w:jc w:val="center"/>
        </w:trPr>
        <w:tc>
          <w:tcPr>
            <w:tcW w:w="2408"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国家</w:t>
            </w:r>
            <w:r>
              <w:rPr>
                <w:rFonts w:hint="eastAsia"/>
                <w:color w:val="000000" w:themeColor="text1"/>
                <w:sz w:val="21"/>
                <w:szCs w:val="21"/>
                <w14:textFill>
                  <w14:solidFill>
                    <w14:schemeClr w14:val="tx1"/>
                  </w14:solidFill>
                </w14:textFill>
              </w:rPr>
              <w:t>生态</w:t>
            </w:r>
            <w:r>
              <w:rPr>
                <w:color w:val="000000" w:themeColor="text1"/>
                <w:sz w:val="21"/>
                <w:szCs w:val="21"/>
                <w14:textFill>
                  <w14:solidFill>
                    <w14:schemeClr w14:val="tx1"/>
                  </w14:solidFill>
                </w14:textFill>
              </w:rPr>
              <w:t>环境部</w:t>
            </w:r>
          </w:p>
        </w:tc>
        <w:tc>
          <w:tcPr>
            <w:tcW w:w="2097"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（值）010-12369</w:t>
            </w:r>
          </w:p>
        </w:tc>
        <w:tc>
          <w:tcPr>
            <w:tcW w:w="2999"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莆田</w:t>
            </w:r>
            <w:r>
              <w:rPr>
                <w:color w:val="000000" w:themeColor="text1"/>
                <w:sz w:val="21"/>
                <w:szCs w:val="21"/>
                <w14:textFill>
                  <w14:solidFill>
                    <w14:schemeClr w14:val="tx1"/>
                  </w14:solidFill>
                </w14:textFill>
              </w:rPr>
              <w:t>市人民政府</w:t>
            </w:r>
          </w:p>
        </w:tc>
        <w:tc>
          <w:tcPr>
            <w:tcW w:w="2117" w:type="dxa"/>
            <w:tcBorders>
              <w:tl2br w:val="nil"/>
              <w:tr2bl w:val="nil"/>
            </w:tcBorders>
            <w:vAlign w:val="center"/>
          </w:tcPr>
          <w:p>
            <w:pPr>
              <w:pStyle w:val="105"/>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（值）0594-2292721</w:t>
            </w:r>
          </w:p>
          <w:p>
            <w:pPr>
              <w:pStyle w:val="105"/>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0594-2293512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9" w:hRule="exact"/>
          <w:jc w:val="center"/>
        </w:trPr>
        <w:tc>
          <w:tcPr>
            <w:tcW w:w="2408"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福建省</w:t>
            </w:r>
            <w:r>
              <w:rPr>
                <w:rFonts w:hint="eastAsia"/>
                <w:color w:val="000000" w:themeColor="text1"/>
                <w:sz w:val="21"/>
                <w:szCs w:val="21"/>
                <w14:textFill>
                  <w14:solidFill>
                    <w14:schemeClr w14:val="tx1"/>
                  </w14:solidFill>
                </w14:textFill>
              </w:rPr>
              <w:t>生态</w:t>
            </w:r>
            <w:r>
              <w:rPr>
                <w:color w:val="000000" w:themeColor="text1"/>
                <w:sz w:val="21"/>
                <w:szCs w:val="21"/>
                <w14:textFill>
                  <w14:solidFill>
                    <w14:schemeClr w14:val="tx1"/>
                  </w14:solidFill>
                </w14:textFill>
              </w:rPr>
              <w:t>环境厅</w:t>
            </w:r>
          </w:p>
        </w:tc>
        <w:tc>
          <w:tcPr>
            <w:tcW w:w="2097"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（值）0591-12369</w:t>
            </w:r>
          </w:p>
        </w:tc>
        <w:tc>
          <w:tcPr>
            <w:tcW w:w="2999"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莆田市生态环境局</w:t>
            </w:r>
          </w:p>
        </w:tc>
        <w:tc>
          <w:tcPr>
            <w:tcW w:w="2117" w:type="dxa"/>
            <w:tcBorders>
              <w:tl2br w:val="nil"/>
              <w:tr2bl w:val="nil"/>
            </w:tcBorders>
            <w:vAlign w:val="center"/>
          </w:tcPr>
          <w:p>
            <w:pPr>
              <w:pStyle w:val="105"/>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（办）0594-2688958</w:t>
            </w:r>
          </w:p>
          <w:p>
            <w:pPr>
              <w:pStyle w:val="105"/>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12369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65" w:hRule="exact"/>
          <w:jc w:val="center"/>
        </w:trPr>
        <w:tc>
          <w:tcPr>
            <w:tcW w:w="2408"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福建省环境监察总队</w:t>
            </w:r>
          </w:p>
        </w:tc>
        <w:tc>
          <w:tcPr>
            <w:tcW w:w="2097"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（值）0591-88367363</w:t>
            </w:r>
          </w:p>
        </w:tc>
        <w:tc>
          <w:tcPr>
            <w:tcW w:w="2999" w:type="dxa"/>
            <w:tcBorders>
              <w:tl2br w:val="nil"/>
              <w:tr2bl w:val="nil"/>
            </w:tcBorders>
            <w:vAlign w:val="center"/>
          </w:tcPr>
          <w:p>
            <w:pPr>
              <w:widowControl/>
              <w:spacing w:line="280" w:lineRule="exact"/>
              <w:jc w:val="center"/>
              <w:rPr>
                <w:color w:val="000000" w:themeColor="text1"/>
                <w14:textFill>
                  <w14:solidFill>
                    <w14:schemeClr w14:val="tx1"/>
                  </w14:solidFill>
                </w14:textFill>
              </w:rPr>
            </w:pPr>
            <w:r>
              <w:rPr>
                <w:rFonts w:hint="eastAsia"/>
                <w:bCs/>
                <w:color w:val="000000" w:themeColor="text1"/>
                <w14:textFill>
                  <w14:solidFill>
                    <w14:schemeClr w14:val="tx1"/>
                  </w14:solidFill>
                </w14:textFill>
              </w:rPr>
              <w:t>莆田市</w:t>
            </w:r>
            <w:r>
              <w:rPr>
                <w:bCs/>
                <w:color w:val="000000" w:themeColor="text1"/>
                <w14:textFill>
                  <w14:solidFill>
                    <w14:schemeClr w14:val="tx1"/>
                  </w14:solidFill>
                </w14:textFill>
              </w:rPr>
              <w:t>应急</w:t>
            </w:r>
            <w:r>
              <w:rPr>
                <w:rFonts w:hint="eastAsia"/>
                <w:bCs/>
                <w:color w:val="000000" w:themeColor="text1"/>
                <w14:textFill>
                  <w14:solidFill>
                    <w14:schemeClr w14:val="tx1"/>
                  </w14:solidFill>
                </w14:textFill>
              </w:rPr>
              <w:t>与事故调查中心</w:t>
            </w:r>
          </w:p>
        </w:tc>
        <w:tc>
          <w:tcPr>
            <w:tcW w:w="2117" w:type="dxa"/>
            <w:tcBorders>
              <w:tl2br w:val="nil"/>
              <w:tr2bl w:val="nil"/>
            </w:tcBorders>
            <w:vAlign w:val="center"/>
          </w:tcPr>
          <w:p>
            <w:pPr>
              <w:widowControl/>
              <w:spacing w:line="280" w:lineRule="exact"/>
              <w:jc w:val="center"/>
              <w:rPr>
                <w:color w:val="000000" w:themeColor="text1"/>
                <w14:textFill>
                  <w14:solidFill>
                    <w14:schemeClr w14:val="tx1"/>
                  </w14:solidFill>
                </w14:textFill>
              </w:rPr>
            </w:pPr>
            <w:r>
              <w:rPr>
                <w:rFonts w:hint="eastAsia"/>
                <w:bCs/>
                <w:color w:val="000000" w:themeColor="text1"/>
                <w14:textFill>
                  <w14:solidFill>
                    <w14:schemeClr w14:val="tx1"/>
                  </w14:solidFill>
                </w14:textFill>
              </w:rPr>
              <w:t>（值）</w:t>
            </w:r>
            <w:r>
              <w:rPr>
                <w:bCs/>
                <w:color w:val="000000" w:themeColor="text1"/>
                <w14:textFill>
                  <w14:solidFill>
                    <w14:schemeClr w14:val="tx1"/>
                  </w14:solidFill>
                </w14:textFill>
              </w:rPr>
              <w:t>0594-2395055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01" w:hRule="exact"/>
          <w:jc w:val="center"/>
        </w:trPr>
        <w:tc>
          <w:tcPr>
            <w:tcW w:w="2408"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国家</w:t>
            </w:r>
            <w:r>
              <w:rPr>
                <w:rFonts w:hint="eastAsia"/>
                <w:color w:val="000000" w:themeColor="text1"/>
                <w:sz w:val="21"/>
                <w:szCs w:val="21"/>
                <w14:textFill>
                  <w14:solidFill>
                    <w14:schemeClr w14:val="tx1"/>
                  </w14:solidFill>
                </w14:textFill>
              </w:rPr>
              <w:t>生态</w:t>
            </w:r>
            <w:r>
              <w:rPr>
                <w:color w:val="000000" w:themeColor="text1"/>
                <w:sz w:val="21"/>
                <w:szCs w:val="21"/>
                <w14:textFill>
                  <w14:solidFill>
                    <w14:schemeClr w14:val="tx1"/>
                  </w14:solidFill>
                </w14:textFill>
              </w:rPr>
              <w:t>环境部环境应</w:t>
            </w:r>
          </w:p>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急与事故调查中心</w:t>
            </w:r>
          </w:p>
        </w:tc>
        <w:tc>
          <w:tcPr>
            <w:tcW w:w="2097"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（值）010-12369</w:t>
            </w:r>
          </w:p>
        </w:tc>
        <w:tc>
          <w:tcPr>
            <w:tcW w:w="2999"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莆田市环境监测中心站</w:t>
            </w:r>
          </w:p>
        </w:tc>
        <w:tc>
          <w:tcPr>
            <w:tcW w:w="2117" w:type="dxa"/>
            <w:tcBorders>
              <w:tl2br w:val="nil"/>
              <w:tr2bl w:val="nil"/>
            </w:tcBorders>
            <w:vAlign w:val="center"/>
          </w:tcPr>
          <w:p>
            <w:pPr>
              <w:pStyle w:val="105"/>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（办）</w:t>
            </w:r>
            <w:r>
              <w:rPr>
                <w:rFonts w:hint="eastAsia"/>
                <w:color w:val="000000" w:themeColor="text1"/>
                <w:sz w:val="21"/>
                <w:szCs w:val="21"/>
                <w14:textFill>
                  <w14:solidFill>
                    <w14:schemeClr w14:val="tx1"/>
                  </w14:solidFill>
                </w14:textFill>
              </w:rPr>
              <w:t>0594-2696341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00" w:hRule="exact"/>
          <w:jc w:val="center"/>
        </w:trPr>
        <w:tc>
          <w:tcPr>
            <w:tcW w:w="2408"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福建省环境应急与事故</w:t>
            </w:r>
          </w:p>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调查中心</w:t>
            </w:r>
          </w:p>
        </w:tc>
        <w:tc>
          <w:tcPr>
            <w:tcW w:w="2097"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（值）0591-12369</w:t>
            </w:r>
          </w:p>
        </w:tc>
        <w:tc>
          <w:tcPr>
            <w:tcW w:w="2999"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莆田市</w:t>
            </w:r>
            <w:r>
              <w:rPr>
                <w:color w:val="000000" w:themeColor="text1"/>
                <w:sz w:val="21"/>
                <w:szCs w:val="21"/>
                <w14:textFill>
                  <w14:solidFill>
                    <w14:schemeClr w14:val="tx1"/>
                  </w14:solidFill>
                </w14:textFill>
              </w:rPr>
              <w:t>环境监察大队</w:t>
            </w:r>
          </w:p>
        </w:tc>
        <w:tc>
          <w:tcPr>
            <w:tcW w:w="2117" w:type="dxa"/>
            <w:tcBorders>
              <w:tl2br w:val="nil"/>
              <w:tr2bl w:val="nil"/>
            </w:tcBorders>
            <w:vAlign w:val="center"/>
          </w:tcPr>
          <w:p>
            <w:pPr>
              <w:pStyle w:val="105"/>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（办）0594-2615108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96" w:hRule="exact"/>
          <w:jc w:val="center"/>
        </w:trPr>
        <w:tc>
          <w:tcPr>
            <w:tcW w:w="2408"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福建省环境监测中心站</w:t>
            </w:r>
          </w:p>
        </w:tc>
        <w:tc>
          <w:tcPr>
            <w:tcW w:w="2097"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（办）0591-87873262</w:t>
            </w:r>
          </w:p>
        </w:tc>
        <w:tc>
          <w:tcPr>
            <w:tcW w:w="2999" w:type="dxa"/>
            <w:tcBorders>
              <w:tl2br w:val="nil"/>
              <w:tr2bl w:val="nil"/>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莆田市</w:t>
            </w:r>
            <w:r>
              <w:rPr>
                <w:color w:val="000000" w:themeColor="text1"/>
                <w14:textFill>
                  <w14:solidFill>
                    <w14:schemeClr w14:val="tx1"/>
                  </w14:solidFill>
                </w14:textFill>
              </w:rPr>
              <w:t>消防</w:t>
            </w:r>
            <w:r>
              <w:rPr>
                <w:rFonts w:hint="eastAsia"/>
                <w:color w:val="000000" w:themeColor="text1"/>
                <w14:textFill>
                  <w14:solidFill>
                    <w14:schemeClr w14:val="tx1"/>
                  </w14:solidFill>
                </w14:textFill>
              </w:rPr>
              <w:t>救援</w:t>
            </w:r>
            <w:r>
              <w:rPr>
                <w:color w:val="000000" w:themeColor="text1"/>
                <w14:textFill>
                  <w14:solidFill>
                    <w14:schemeClr w14:val="tx1"/>
                  </w14:solidFill>
                </w14:textFill>
              </w:rPr>
              <w:t>大队</w:t>
            </w:r>
          </w:p>
        </w:tc>
        <w:tc>
          <w:tcPr>
            <w:tcW w:w="2117" w:type="dxa"/>
            <w:tcBorders>
              <w:tl2br w:val="nil"/>
              <w:tr2bl w:val="nil"/>
            </w:tcBorders>
            <w:vAlign w:val="center"/>
          </w:tcPr>
          <w:p>
            <w:pPr>
              <w:pStyle w:val="105"/>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（值）0594-2785623</w:t>
            </w:r>
          </w:p>
          <w:p>
            <w:pPr>
              <w:pStyle w:val="105"/>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0594-2658922</w:t>
            </w:r>
          </w:p>
          <w:p>
            <w:pPr>
              <w:rPr>
                <w:color w:val="000000" w:themeColor="text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50" w:hRule="exact"/>
          <w:jc w:val="center"/>
        </w:trPr>
        <w:tc>
          <w:tcPr>
            <w:tcW w:w="2408"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莆田市</w:t>
            </w:r>
            <w:r>
              <w:rPr>
                <w:color w:val="000000" w:themeColor="text1"/>
                <w:sz w:val="21"/>
                <w:szCs w:val="21"/>
                <w14:textFill>
                  <w14:solidFill>
                    <w14:schemeClr w14:val="tx1"/>
                  </w14:solidFill>
                </w14:textFill>
              </w:rPr>
              <w:t>水利局</w:t>
            </w:r>
          </w:p>
        </w:tc>
        <w:tc>
          <w:tcPr>
            <w:tcW w:w="2097"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（值）</w:t>
            </w:r>
            <w:r>
              <w:rPr>
                <w:rFonts w:hint="eastAsia"/>
                <w:color w:val="000000" w:themeColor="text1"/>
                <w:sz w:val="21"/>
                <w:szCs w:val="21"/>
                <w14:textFill>
                  <w14:solidFill>
                    <w14:schemeClr w14:val="tx1"/>
                  </w14:solidFill>
                </w14:textFill>
              </w:rPr>
              <w:t>0954-2380273</w:t>
            </w:r>
          </w:p>
        </w:tc>
        <w:tc>
          <w:tcPr>
            <w:tcW w:w="2999" w:type="dxa"/>
            <w:tcBorders>
              <w:tl2br w:val="nil"/>
              <w:tr2bl w:val="nil"/>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莆田市</w:t>
            </w:r>
            <w:r>
              <w:rPr>
                <w:color w:val="000000" w:themeColor="text1"/>
                <w14:textFill>
                  <w14:solidFill>
                    <w14:schemeClr w14:val="tx1"/>
                  </w14:solidFill>
                </w14:textFill>
              </w:rPr>
              <w:t>疾控中心</w:t>
            </w:r>
          </w:p>
        </w:tc>
        <w:tc>
          <w:tcPr>
            <w:tcW w:w="2117" w:type="dxa"/>
            <w:tcBorders>
              <w:tl2br w:val="nil"/>
              <w:tr2bl w:val="nil"/>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（值）</w:t>
            </w:r>
            <w:r>
              <w:rPr>
                <w:rFonts w:hint="eastAsia"/>
                <w:color w:val="000000" w:themeColor="text1"/>
                <w14:textFill>
                  <w14:solidFill>
                    <w14:schemeClr w14:val="tx1"/>
                  </w14:solidFill>
                </w14:textFill>
              </w:rPr>
              <w:t>0954-2293339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7" w:hRule="exact"/>
          <w:jc w:val="center"/>
        </w:trPr>
        <w:tc>
          <w:tcPr>
            <w:tcW w:w="2408"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莆田市应急管理局</w:t>
            </w:r>
          </w:p>
        </w:tc>
        <w:tc>
          <w:tcPr>
            <w:tcW w:w="2097" w:type="dxa"/>
            <w:tcBorders>
              <w:tl2br w:val="nil"/>
              <w:tr2bl w:val="nil"/>
            </w:tcBorders>
            <w:vAlign w:val="center"/>
          </w:tcPr>
          <w:p>
            <w:pPr>
              <w:pStyle w:val="105"/>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（值）</w:t>
            </w:r>
            <w:r>
              <w:rPr>
                <w:rFonts w:hint="eastAsia"/>
                <w:color w:val="000000" w:themeColor="text1"/>
                <w:sz w:val="21"/>
                <w:szCs w:val="21"/>
                <w14:textFill>
                  <w14:solidFill>
                    <w14:schemeClr w14:val="tx1"/>
                  </w14:solidFill>
                </w14:textFill>
              </w:rPr>
              <w:t>0954-2298938</w:t>
            </w:r>
          </w:p>
        </w:tc>
        <w:tc>
          <w:tcPr>
            <w:tcW w:w="2999" w:type="dxa"/>
            <w:tcBorders>
              <w:tl2br w:val="nil"/>
              <w:tr2bl w:val="nil"/>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莆田市自来水有限公司</w:t>
            </w:r>
          </w:p>
        </w:tc>
        <w:tc>
          <w:tcPr>
            <w:tcW w:w="2117" w:type="dxa"/>
            <w:tcBorders>
              <w:tl2br w:val="nil"/>
              <w:tr2bl w:val="nil"/>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（值）</w:t>
            </w:r>
            <w:r>
              <w:rPr>
                <w:rFonts w:hint="eastAsia"/>
                <w:color w:val="000000" w:themeColor="text1"/>
                <w14:textFill>
                  <w14:solidFill>
                    <w14:schemeClr w14:val="tx1"/>
                  </w14:solidFill>
                </w14:textFill>
              </w:rPr>
              <w:t>0954-2696317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72" w:hRule="exact"/>
          <w:jc w:val="center"/>
        </w:trPr>
        <w:tc>
          <w:tcPr>
            <w:tcW w:w="2408" w:type="dxa"/>
            <w:tcBorders>
              <w:tl2br w:val="nil"/>
              <w:tr2bl w:val="nil"/>
            </w:tcBorders>
            <w:vAlign w:val="center"/>
          </w:tcPr>
          <w:p>
            <w:pPr>
              <w:pStyle w:val="105"/>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莆田市卫生健康局</w:t>
            </w:r>
          </w:p>
        </w:tc>
        <w:tc>
          <w:tcPr>
            <w:tcW w:w="2097" w:type="dxa"/>
            <w:tcBorders>
              <w:tl2br w:val="nil"/>
              <w:tr2bl w:val="nil"/>
            </w:tcBorders>
            <w:vAlign w:val="center"/>
          </w:tcPr>
          <w:p>
            <w:pPr>
              <w:pStyle w:val="105"/>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（办）059</w:t>
            </w:r>
            <w:r>
              <w:rPr>
                <w:rFonts w:hint="eastAsia"/>
                <w:color w:val="000000" w:themeColor="text1"/>
                <w:sz w:val="21"/>
                <w:szCs w:val="21"/>
                <w14:textFill>
                  <w14:solidFill>
                    <w14:schemeClr w14:val="tx1"/>
                  </w14:solidFill>
                </w14:textFill>
              </w:rPr>
              <w:t>4</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2285268</w:t>
            </w:r>
          </w:p>
        </w:tc>
        <w:tc>
          <w:tcPr>
            <w:tcW w:w="2999" w:type="dxa"/>
            <w:tcBorders>
              <w:tl2br w:val="nil"/>
              <w:tr2bl w:val="nil"/>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莆田市供水供水公司</w:t>
            </w:r>
          </w:p>
        </w:tc>
        <w:tc>
          <w:tcPr>
            <w:tcW w:w="2117" w:type="dxa"/>
            <w:tcBorders>
              <w:tl2br w:val="nil"/>
              <w:tr2bl w:val="nil"/>
            </w:tcBorders>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（值）</w:t>
            </w:r>
            <w:r>
              <w:rPr>
                <w:rFonts w:hint="eastAsia"/>
                <w:color w:val="000000" w:themeColor="text1"/>
                <w14:textFill>
                  <w14:solidFill>
                    <w14:schemeClr w14:val="tx1"/>
                  </w14:solidFill>
                </w14:textFill>
              </w:rPr>
              <w:t>0954-2680234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86" w:hRule="exact"/>
          <w:jc w:val="center"/>
        </w:trPr>
        <w:tc>
          <w:tcPr>
            <w:tcW w:w="2408" w:type="dxa"/>
            <w:tcBorders>
              <w:tl2br w:val="nil"/>
              <w:tr2bl w:val="nil"/>
            </w:tcBorders>
            <w:vAlign w:val="center"/>
          </w:tcPr>
          <w:p>
            <w:pPr>
              <w:pStyle w:val="105"/>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莆田市</w:t>
            </w:r>
            <w:r>
              <w:rPr>
                <w:color w:val="000000" w:themeColor="text1"/>
                <w:kern w:val="2"/>
                <w:sz w:val="21"/>
                <w:szCs w:val="21"/>
                <w14:textFill>
                  <w14:solidFill>
                    <w14:schemeClr w14:val="tx1"/>
                  </w14:solidFill>
                </w14:textFill>
              </w:rPr>
              <w:t>民政局</w:t>
            </w:r>
          </w:p>
        </w:tc>
        <w:tc>
          <w:tcPr>
            <w:tcW w:w="2097" w:type="dxa"/>
            <w:tcBorders>
              <w:tl2br w:val="nil"/>
              <w:tr2bl w:val="nil"/>
            </w:tcBorders>
            <w:vAlign w:val="center"/>
          </w:tcPr>
          <w:p>
            <w:pPr>
              <w:pStyle w:val="105"/>
              <w:rPr>
                <w:color w:val="000000" w:themeColor="text1"/>
                <w:kern w:val="2"/>
                <w:sz w:val="21"/>
                <w:szCs w:val="21"/>
                <w14:textFill>
                  <w14:solidFill>
                    <w14:schemeClr w14:val="tx1"/>
                  </w14:solidFill>
                </w14:textFill>
              </w:rPr>
            </w:pPr>
            <w:r>
              <w:rPr>
                <w:color w:val="000000" w:themeColor="text1"/>
                <w:kern w:val="2"/>
                <w:sz w:val="21"/>
                <w:szCs w:val="21"/>
                <w14:textFill>
                  <w14:solidFill>
                    <w14:schemeClr w14:val="tx1"/>
                  </w14:solidFill>
                </w14:textFill>
              </w:rPr>
              <w:t>（值）</w:t>
            </w:r>
            <w:r>
              <w:rPr>
                <w:rFonts w:hint="eastAsia"/>
                <w:color w:val="000000" w:themeColor="text1"/>
                <w:kern w:val="2"/>
                <w:sz w:val="21"/>
                <w:szCs w:val="21"/>
                <w14:textFill>
                  <w14:solidFill>
                    <w14:schemeClr w14:val="tx1"/>
                  </w14:solidFill>
                </w14:textFill>
              </w:rPr>
              <w:t>0954-2292031</w:t>
            </w:r>
          </w:p>
        </w:tc>
        <w:tc>
          <w:tcPr>
            <w:tcW w:w="2999" w:type="dxa"/>
            <w:tcBorders>
              <w:tl2br w:val="nil"/>
              <w:tr2bl w:val="nil"/>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莆田市</w:t>
            </w:r>
            <w:r>
              <w:rPr>
                <w:color w:val="000000" w:themeColor="text1"/>
                <w14:textFill>
                  <w14:solidFill>
                    <w14:schemeClr w14:val="tx1"/>
                  </w14:solidFill>
                </w14:textFill>
              </w:rPr>
              <w:t>公安交警大队</w:t>
            </w:r>
          </w:p>
        </w:tc>
        <w:tc>
          <w:tcPr>
            <w:tcW w:w="2117" w:type="dxa"/>
            <w:tcBorders>
              <w:tl2br w:val="nil"/>
              <w:tr2bl w:val="nil"/>
            </w:tcBorders>
            <w:vAlign w:val="center"/>
          </w:tcPr>
          <w:p>
            <w:pPr>
              <w:jc w:val="center"/>
              <w:rPr>
                <w:color w:val="000000" w:themeColor="text1"/>
                <w14:textFill>
                  <w14:solidFill>
                    <w14:schemeClr w14:val="tx1"/>
                  </w14:solidFill>
                </w14:textFill>
              </w:rPr>
            </w:pPr>
            <w:r>
              <w:rPr>
                <w:color w:val="000000" w:themeColor="text1"/>
                <w14:textFill>
                  <w14:solidFill>
                    <w14:schemeClr w14:val="tx1"/>
                  </w14:solidFill>
                </w14:textFill>
              </w:rPr>
              <w:t>（值</w:t>
            </w:r>
            <w:r>
              <w:rPr>
                <w:rFonts w:hint="eastAsia"/>
                <w:color w:val="000000" w:themeColor="text1"/>
                <w14:textFill>
                  <w14:solidFill>
                    <w14:schemeClr w14:val="tx1"/>
                  </w14:solidFill>
                </w14:textFill>
              </w:rPr>
              <w:t>）0954-2653685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2408" w:type="dxa"/>
            <w:tcBorders>
              <w:tl2br w:val="nil"/>
              <w:tr2bl w:val="nil"/>
            </w:tcBorders>
            <w:vAlign w:val="center"/>
          </w:tcPr>
          <w:p>
            <w:pPr>
              <w:pStyle w:val="105"/>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莆田市</w:t>
            </w:r>
            <w:r>
              <w:rPr>
                <w:color w:val="000000" w:themeColor="text1"/>
                <w:kern w:val="2"/>
                <w:sz w:val="21"/>
                <w:szCs w:val="21"/>
                <w14:textFill>
                  <w14:solidFill>
                    <w14:schemeClr w14:val="tx1"/>
                  </w14:solidFill>
                </w14:textFill>
              </w:rPr>
              <w:t>财政局</w:t>
            </w:r>
          </w:p>
        </w:tc>
        <w:tc>
          <w:tcPr>
            <w:tcW w:w="2097" w:type="dxa"/>
            <w:tcBorders>
              <w:tl2br w:val="nil"/>
              <w:tr2bl w:val="nil"/>
            </w:tcBorders>
            <w:vAlign w:val="center"/>
          </w:tcPr>
          <w:p>
            <w:pPr>
              <w:pStyle w:val="105"/>
              <w:rPr>
                <w:color w:val="000000" w:themeColor="text1"/>
                <w:kern w:val="2"/>
                <w:sz w:val="21"/>
                <w:szCs w:val="21"/>
                <w14:textFill>
                  <w14:solidFill>
                    <w14:schemeClr w14:val="tx1"/>
                  </w14:solidFill>
                </w14:textFill>
              </w:rPr>
            </w:pPr>
            <w:r>
              <w:rPr>
                <w:color w:val="000000" w:themeColor="text1"/>
                <w:kern w:val="2"/>
                <w:sz w:val="21"/>
                <w:szCs w:val="21"/>
                <w14:textFill>
                  <w14:solidFill>
                    <w14:schemeClr w14:val="tx1"/>
                  </w14:solidFill>
                </w14:textFill>
              </w:rPr>
              <w:t>（值）</w:t>
            </w:r>
            <w:r>
              <w:rPr>
                <w:rFonts w:hint="eastAsia"/>
                <w:color w:val="000000" w:themeColor="text1"/>
                <w:kern w:val="2"/>
                <w:sz w:val="21"/>
                <w:szCs w:val="21"/>
                <w14:textFill>
                  <w14:solidFill>
                    <w14:schemeClr w14:val="tx1"/>
                  </w14:solidFill>
                </w14:textFill>
              </w:rPr>
              <w:t>0954-2694413</w:t>
            </w:r>
          </w:p>
        </w:tc>
        <w:tc>
          <w:tcPr>
            <w:tcW w:w="2999" w:type="dxa"/>
            <w:tcBorders>
              <w:tl2br w:val="nil"/>
              <w:tr2bl w:val="nil"/>
            </w:tcBorders>
            <w:vAlign w:val="center"/>
          </w:tcPr>
          <w:p>
            <w:pPr>
              <w:pStyle w:val="105"/>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莆田学院附属医院</w:t>
            </w:r>
          </w:p>
        </w:tc>
        <w:tc>
          <w:tcPr>
            <w:tcW w:w="2117" w:type="dxa"/>
            <w:tcBorders>
              <w:tl2br w:val="nil"/>
              <w:tr2bl w:val="nil"/>
            </w:tcBorders>
            <w:vAlign w:val="center"/>
          </w:tcPr>
          <w:p>
            <w:pPr>
              <w:pStyle w:val="80"/>
              <w:rPr>
                <w:color w:val="000000" w:themeColor="text1"/>
                <w14:textFill>
                  <w14:solidFill>
                    <w14:schemeClr w14:val="tx1"/>
                  </w14:solidFill>
                </w14:textFill>
              </w:rPr>
            </w:pPr>
            <w:r>
              <w:rPr>
                <w:color w:val="000000" w:themeColor="text1"/>
                <w14:textFill>
                  <w14:solidFill>
                    <w14:schemeClr w14:val="tx1"/>
                  </w14:solidFill>
                </w14:textFill>
              </w:rPr>
              <w:t>（值</w:t>
            </w:r>
            <w:r>
              <w:rPr>
                <w:rFonts w:hint="eastAsia"/>
                <w:color w:val="000000" w:themeColor="text1"/>
                <w14:textFill>
                  <w14:solidFill>
                    <w14:schemeClr w14:val="tx1"/>
                  </w14:solidFill>
                </w14:textFill>
              </w:rPr>
              <w:t>）0594-2293910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51" w:hRule="exact"/>
          <w:jc w:val="center"/>
        </w:trPr>
        <w:tc>
          <w:tcPr>
            <w:tcW w:w="2408" w:type="dxa"/>
            <w:tcBorders>
              <w:tl2br w:val="nil"/>
              <w:tr2bl w:val="nil"/>
            </w:tcBorders>
            <w:vAlign w:val="center"/>
          </w:tcPr>
          <w:p>
            <w:pPr>
              <w:pStyle w:val="105"/>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莆田市</w:t>
            </w:r>
            <w:r>
              <w:rPr>
                <w:color w:val="000000" w:themeColor="text1"/>
                <w:kern w:val="2"/>
                <w:sz w:val="21"/>
                <w:szCs w:val="21"/>
                <w14:textFill>
                  <w14:solidFill>
                    <w14:schemeClr w14:val="tx1"/>
                  </w14:solidFill>
                </w14:textFill>
              </w:rPr>
              <w:t>气象局</w:t>
            </w:r>
          </w:p>
        </w:tc>
        <w:tc>
          <w:tcPr>
            <w:tcW w:w="2097" w:type="dxa"/>
            <w:tcBorders>
              <w:tl2br w:val="nil"/>
              <w:tr2bl w:val="nil"/>
            </w:tcBorders>
            <w:vAlign w:val="center"/>
          </w:tcPr>
          <w:p>
            <w:pPr>
              <w:pStyle w:val="105"/>
              <w:rPr>
                <w:color w:val="000000" w:themeColor="text1"/>
                <w:kern w:val="2"/>
                <w:sz w:val="21"/>
                <w:szCs w:val="21"/>
                <w14:textFill>
                  <w14:solidFill>
                    <w14:schemeClr w14:val="tx1"/>
                  </w14:solidFill>
                </w14:textFill>
              </w:rPr>
            </w:pPr>
            <w:r>
              <w:rPr>
                <w:color w:val="000000" w:themeColor="text1"/>
                <w:kern w:val="2"/>
                <w:sz w:val="21"/>
                <w:szCs w:val="21"/>
                <w14:textFill>
                  <w14:solidFill>
                    <w14:schemeClr w14:val="tx1"/>
                  </w14:solidFill>
                </w14:textFill>
              </w:rPr>
              <w:t>（值）</w:t>
            </w:r>
            <w:r>
              <w:rPr>
                <w:rFonts w:hint="eastAsia"/>
                <w:color w:val="000000" w:themeColor="text1"/>
                <w:kern w:val="2"/>
                <w:sz w:val="21"/>
                <w:szCs w:val="21"/>
                <w14:textFill>
                  <w14:solidFill>
                    <w14:schemeClr w14:val="tx1"/>
                  </w14:solidFill>
                </w14:textFill>
              </w:rPr>
              <w:t>0954-2292072</w:t>
            </w:r>
          </w:p>
        </w:tc>
        <w:tc>
          <w:tcPr>
            <w:tcW w:w="2999" w:type="dxa"/>
            <w:tcBorders>
              <w:tl2br w:val="nil"/>
              <w:tr2bl w:val="nil"/>
            </w:tcBorders>
            <w:vAlign w:val="center"/>
          </w:tcPr>
          <w:p>
            <w:pPr>
              <w:pStyle w:val="105"/>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莆田市第一医院</w:t>
            </w:r>
          </w:p>
        </w:tc>
        <w:tc>
          <w:tcPr>
            <w:tcW w:w="2117" w:type="dxa"/>
            <w:tcBorders>
              <w:tl2br w:val="nil"/>
              <w:tr2bl w:val="nil"/>
            </w:tcBorders>
            <w:vAlign w:val="center"/>
          </w:tcPr>
          <w:p>
            <w:pPr>
              <w:pStyle w:val="105"/>
              <w:jc w:val="center"/>
              <w:rPr>
                <w:color w:val="000000" w:themeColor="text1"/>
                <w:kern w:val="2"/>
                <w:sz w:val="21"/>
                <w:szCs w:val="21"/>
                <w14:textFill>
                  <w14:solidFill>
                    <w14:schemeClr w14:val="tx1"/>
                  </w14:solidFill>
                </w14:textFill>
              </w:rPr>
            </w:pPr>
            <w:r>
              <w:rPr>
                <w:color w:val="000000" w:themeColor="text1"/>
                <w:kern w:val="2"/>
                <w:sz w:val="21"/>
                <w:szCs w:val="21"/>
                <w14:textFill>
                  <w14:solidFill>
                    <w14:schemeClr w14:val="tx1"/>
                  </w14:solidFill>
                </w14:textFill>
              </w:rPr>
              <w:t>（值</w:t>
            </w:r>
            <w:r>
              <w:rPr>
                <w:rFonts w:hint="eastAsia"/>
                <w:color w:val="000000" w:themeColor="text1"/>
                <w:kern w:val="2"/>
                <w:sz w:val="21"/>
                <w:szCs w:val="21"/>
                <w14:textFill>
                  <w14:solidFill>
                    <w14:schemeClr w14:val="tx1"/>
                  </w14:solidFill>
                </w14:textFill>
              </w:rPr>
              <w:t>）0594-2292429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60" w:hRule="exact"/>
          <w:jc w:val="center"/>
        </w:trPr>
        <w:tc>
          <w:tcPr>
            <w:tcW w:w="2408" w:type="dxa"/>
            <w:tcBorders>
              <w:tl2br w:val="nil"/>
              <w:tr2bl w:val="nil"/>
            </w:tcBorders>
            <w:vAlign w:val="center"/>
          </w:tcPr>
          <w:p>
            <w:pPr>
              <w:pStyle w:val="105"/>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莆田市</w:t>
            </w:r>
            <w:r>
              <w:rPr>
                <w:color w:val="000000" w:themeColor="text1"/>
                <w:kern w:val="2"/>
                <w:sz w:val="21"/>
                <w:szCs w:val="21"/>
                <w14:textFill>
                  <w14:solidFill>
                    <w14:schemeClr w14:val="tx1"/>
                  </w14:solidFill>
                </w14:textFill>
              </w:rPr>
              <w:t>交通运输局</w:t>
            </w:r>
          </w:p>
        </w:tc>
        <w:tc>
          <w:tcPr>
            <w:tcW w:w="2097" w:type="dxa"/>
            <w:tcBorders>
              <w:tl2br w:val="nil"/>
              <w:tr2bl w:val="nil"/>
            </w:tcBorders>
            <w:vAlign w:val="center"/>
          </w:tcPr>
          <w:p>
            <w:pPr>
              <w:pStyle w:val="105"/>
              <w:rPr>
                <w:color w:val="000000" w:themeColor="text1"/>
                <w:kern w:val="2"/>
                <w:sz w:val="21"/>
                <w:szCs w:val="21"/>
                <w14:textFill>
                  <w14:solidFill>
                    <w14:schemeClr w14:val="tx1"/>
                  </w14:solidFill>
                </w14:textFill>
              </w:rPr>
            </w:pPr>
            <w:r>
              <w:rPr>
                <w:color w:val="000000" w:themeColor="text1"/>
                <w:kern w:val="2"/>
                <w:sz w:val="21"/>
                <w:szCs w:val="21"/>
                <w14:textFill>
                  <w14:solidFill>
                    <w14:schemeClr w14:val="tx1"/>
                  </w14:solidFill>
                </w14:textFill>
              </w:rPr>
              <w:t>（值）</w:t>
            </w:r>
            <w:r>
              <w:rPr>
                <w:rFonts w:hint="eastAsia"/>
                <w:color w:val="000000" w:themeColor="text1"/>
                <w:kern w:val="2"/>
                <w:sz w:val="21"/>
                <w:szCs w:val="21"/>
                <w14:textFill>
                  <w14:solidFill>
                    <w14:schemeClr w14:val="tx1"/>
                  </w14:solidFill>
                </w14:textFill>
              </w:rPr>
              <w:t>0954-2260600</w:t>
            </w:r>
          </w:p>
        </w:tc>
        <w:tc>
          <w:tcPr>
            <w:tcW w:w="2999" w:type="dxa"/>
            <w:tcBorders>
              <w:tl2br w:val="nil"/>
              <w:tr2bl w:val="nil"/>
            </w:tcBorders>
            <w:vAlign w:val="center"/>
          </w:tcPr>
          <w:p>
            <w:pPr>
              <w:pStyle w:val="105"/>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急救电话（公安）</w:t>
            </w:r>
          </w:p>
        </w:tc>
        <w:tc>
          <w:tcPr>
            <w:tcW w:w="2117" w:type="dxa"/>
            <w:tcBorders>
              <w:tl2br w:val="nil"/>
              <w:tr2bl w:val="nil"/>
            </w:tcBorders>
            <w:vAlign w:val="center"/>
          </w:tcPr>
          <w:p>
            <w:pPr>
              <w:pStyle w:val="105"/>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110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60" w:hRule="exact"/>
          <w:jc w:val="center"/>
        </w:trPr>
        <w:tc>
          <w:tcPr>
            <w:tcW w:w="2408" w:type="dxa"/>
            <w:tcBorders>
              <w:tl2br w:val="nil"/>
              <w:tr2bl w:val="nil"/>
            </w:tcBorders>
            <w:vAlign w:val="center"/>
          </w:tcPr>
          <w:p>
            <w:pPr>
              <w:pStyle w:val="105"/>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急救电话（医院）</w:t>
            </w:r>
          </w:p>
        </w:tc>
        <w:tc>
          <w:tcPr>
            <w:tcW w:w="2097" w:type="dxa"/>
            <w:tcBorders>
              <w:tl2br w:val="nil"/>
              <w:tr2bl w:val="nil"/>
            </w:tcBorders>
            <w:vAlign w:val="center"/>
          </w:tcPr>
          <w:p>
            <w:pPr>
              <w:pStyle w:val="105"/>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120</w:t>
            </w:r>
          </w:p>
        </w:tc>
        <w:tc>
          <w:tcPr>
            <w:tcW w:w="2999" w:type="dxa"/>
            <w:tcBorders>
              <w:tl2br w:val="nil"/>
              <w:tr2bl w:val="nil"/>
            </w:tcBorders>
            <w:vAlign w:val="center"/>
          </w:tcPr>
          <w:p>
            <w:pPr>
              <w:pStyle w:val="105"/>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急救电话（消防）</w:t>
            </w:r>
          </w:p>
        </w:tc>
        <w:tc>
          <w:tcPr>
            <w:tcW w:w="2117" w:type="dxa"/>
            <w:tcBorders>
              <w:tl2br w:val="nil"/>
              <w:tr2bl w:val="nil"/>
            </w:tcBorders>
            <w:vAlign w:val="center"/>
          </w:tcPr>
          <w:p>
            <w:pPr>
              <w:pStyle w:val="105"/>
              <w:jc w:val="center"/>
              <w:rPr>
                <w:color w:val="000000" w:themeColor="text1"/>
                <w:kern w:val="2"/>
                <w:sz w:val="21"/>
                <w:szCs w:val="21"/>
                <w14:textFill>
                  <w14:solidFill>
                    <w14:schemeClr w14:val="tx1"/>
                  </w14:solidFill>
                </w14:textFill>
              </w:rPr>
            </w:pPr>
            <w:r>
              <w:rPr>
                <w:rFonts w:hint="eastAsia"/>
                <w:color w:val="000000" w:themeColor="text1"/>
                <w:kern w:val="2"/>
                <w:sz w:val="21"/>
                <w:szCs w:val="21"/>
                <w14:textFill>
                  <w14:solidFill>
                    <w14:schemeClr w14:val="tx1"/>
                  </w14:solidFill>
                </w14:textFill>
              </w:rPr>
              <w:t>119</w:t>
            </w:r>
          </w:p>
        </w:tc>
      </w:tr>
    </w:tbl>
    <w:p>
      <w:pPr>
        <w:pStyle w:val="32"/>
        <w:spacing w:line="240" w:lineRule="auto"/>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pStyle w:val="78"/>
        <w:spacing w:before="159" w:after="159" w:line="240" w:lineRule="auto"/>
        <w:jc w:val="left"/>
        <w:rPr>
          <w:rFonts w:ascii="黑体" w:hAnsi="黑体" w:cs="黑体"/>
          <w:color w:val="000000" w:themeColor="text1"/>
          <w:sz w:val="24"/>
          <w:szCs w:val="24"/>
          <w14:textFill>
            <w14:solidFill>
              <w14:schemeClr w14:val="tx1"/>
            </w14:solidFill>
          </w14:textFill>
        </w:rPr>
      </w:pPr>
      <w:bookmarkStart w:id="935" w:name="_Toc22462_WPSOffice_Level1"/>
      <w:r>
        <w:rPr>
          <w:rFonts w:hint="eastAsia" w:ascii="黑体" w:hAnsi="黑体" w:cs="黑体"/>
          <w:color w:val="000000" w:themeColor="text1"/>
          <w:sz w:val="24"/>
          <w:szCs w:val="24"/>
          <w14:textFill>
            <w14:solidFill>
              <w14:schemeClr w14:val="tx1"/>
            </w14:solidFill>
          </w14:textFill>
        </w:rPr>
        <w:t>（3）莆田市集中式饮用水水源保护区突发环境事件应急专家组名单</w:t>
      </w:r>
      <w:bookmarkEnd w:id="935"/>
    </w:p>
    <w:tbl>
      <w:tblPr>
        <w:tblStyle w:val="39"/>
        <w:tblW w:w="109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102"/>
        <w:gridCol w:w="834"/>
        <w:gridCol w:w="3537"/>
        <w:gridCol w:w="1874"/>
        <w:gridCol w:w="28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序号</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姓名</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姓别</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工作单位</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专业领域</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职务、职称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张章模</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莆田市水利局</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水利</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总工、教授级高工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陈东风</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莆田市水利局</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水利</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防汛办主任、高工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黄金鹏</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莆田市水利局</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水利</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副总工、高工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4</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肖金锁</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莆田市水利局</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水利</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科长、高工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陈国宁</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莆田市水利局</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水利</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科长、高工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颜文喜</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莆田市水利局</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水利</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科长、高工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吴建洪</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莆田市水利局</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水利</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科长、高工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许智强</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莆田市水利局</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水利</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科长、高工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9</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蔡风飞</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莆田市水利局</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水利</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科长、高工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林琼雄</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莆田市公安局</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刑侦</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治安支队四大队副大队长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11</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郑天和</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w:t>
            </w:r>
            <w:r>
              <w:rPr>
                <w:rFonts w:hint="eastAsia"/>
                <w:color w:val="000000" w:themeColor="text1"/>
                <w:kern w:val="0"/>
                <w:sz w:val="20"/>
                <w:szCs w:val="20"/>
                <w14:textFill>
                  <w14:solidFill>
                    <w14:schemeClr w14:val="tx1"/>
                  </w14:solidFill>
                </w14:textFill>
              </w:rPr>
              <w:t>农业农村局</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农村环保能源</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站长、高级农艺师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12</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黄丽娜</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女</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莆田市气象局</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天气预测预报</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13</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袁斌</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中海福建天然气有限责任公司</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液化压缩气体</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QHSE部经理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14</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王春节</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中海石油空气化工产品（福建）有限公司</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液化压缩气体</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副总经理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15</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郑发国</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空气化工产品（莆田）有限公司</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液化压缩气体</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运输经理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16</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方国钦</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三棵树涂料股份有限公司</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易燃易爆液体</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安全总监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17</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何国强</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福建中闽物流有限公司</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液化压缩气体</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常务副总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18</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陈金榕</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福建海投新能源有限公司</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液化压缩气体</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部门经理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19</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张建成</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百威英博雪津啤酒有限公司</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有毒品</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ES经理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20</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方奋强</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莆田水务集团有限公司</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有毒品</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副厂长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21</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郑仰淦</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市安全生产协会</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化工</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高工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22</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朱荣沧</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市安全生产协会</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化工</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23</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吴爱红</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女</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市应急管理局</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化工</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博士生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exact"/>
          <w:jc w:val="center"/>
        </w:trPr>
        <w:tc>
          <w:tcPr>
            <w:tcW w:w="72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24</w:t>
            </w:r>
          </w:p>
        </w:tc>
        <w:tc>
          <w:tcPr>
            <w:tcW w:w="1102"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许高荣</w:t>
            </w:r>
          </w:p>
        </w:tc>
        <w:tc>
          <w:tcPr>
            <w:tcW w:w="83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男</w:t>
            </w:r>
          </w:p>
        </w:tc>
        <w:tc>
          <w:tcPr>
            <w:tcW w:w="3537"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市安全生产应急救援中心</w:t>
            </w:r>
          </w:p>
        </w:tc>
        <w:tc>
          <w:tcPr>
            <w:tcW w:w="1874"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化工</w:t>
            </w:r>
          </w:p>
        </w:tc>
        <w:tc>
          <w:tcPr>
            <w:tcW w:w="2896" w:type="dxa"/>
            <w:tcBorders>
              <w:tl2br w:val="nil"/>
              <w:tr2bl w:val="nil"/>
            </w:tcBorders>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注册安全工程师、安全评价师</w:t>
            </w:r>
          </w:p>
        </w:tc>
      </w:tr>
    </w:tbl>
    <w:p>
      <w:pPr>
        <w:pStyle w:val="78"/>
        <w:spacing w:before="159" w:after="159" w:line="240" w:lineRule="auto"/>
        <w:jc w:val="left"/>
        <w:rPr>
          <w:rFonts w:ascii="黑体" w:hAnsi="黑体" w:cs="黑体"/>
          <w:color w:val="000000" w:themeColor="text1"/>
          <w:sz w:val="24"/>
          <w:szCs w:val="24"/>
          <w14:textFill>
            <w14:solidFill>
              <w14:schemeClr w14:val="tx1"/>
            </w14:solidFill>
          </w14:textFill>
        </w:rPr>
      </w:pPr>
      <w:bookmarkStart w:id="936" w:name="_Toc25495_WPSOffice_Level1"/>
      <w:r>
        <w:rPr>
          <w:rFonts w:hint="eastAsia" w:ascii="黑体" w:hAnsi="黑体" w:cs="黑体"/>
          <w:color w:val="000000" w:themeColor="text1"/>
          <w:sz w:val="24"/>
          <w:szCs w:val="24"/>
          <w14:textFill>
            <w14:solidFill>
              <w14:schemeClr w14:val="tx1"/>
            </w14:solidFill>
          </w14:textFill>
        </w:rPr>
        <w:t>续上表</w:t>
      </w:r>
      <w:bookmarkEnd w:id="936"/>
    </w:p>
    <w:tbl>
      <w:tblPr>
        <w:tblStyle w:val="39"/>
        <w:tblW w:w="114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1"/>
        <w:gridCol w:w="986"/>
        <w:gridCol w:w="750"/>
        <w:gridCol w:w="2520"/>
        <w:gridCol w:w="2160"/>
        <w:gridCol w:w="2070"/>
        <w:gridCol w:w="22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61" w:type="dxa"/>
            <w:vAlign w:val="center"/>
          </w:tcPr>
          <w:p>
            <w:pPr>
              <w:widowControl/>
              <w:spacing w:line="340" w:lineRule="exact"/>
              <w:ind w:left="-84" w:leftChars="-40" w:right="-111" w:rightChars="-53" w:firstLine="12" w:firstLineChars="6"/>
              <w:jc w:val="center"/>
              <w:rPr>
                <w:b/>
                <w:bCs/>
                <w:color w:val="000000" w:themeColor="text1"/>
                <w:kern w:val="0"/>
                <w:sz w:val="20"/>
                <w:szCs w:val="20"/>
                <w14:textFill>
                  <w14:solidFill>
                    <w14:schemeClr w14:val="tx1"/>
                  </w14:solidFill>
                </w14:textFill>
              </w:rPr>
            </w:pPr>
            <w:r>
              <w:rPr>
                <w:b/>
                <w:bCs/>
                <w:color w:val="000000" w:themeColor="text1"/>
                <w:kern w:val="0"/>
                <w:sz w:val="20"/>
                <w:szCs w:val="20"/>
                <w14:textFill>
                  <w14:solidFill>
                    <w14:schemeClr w14:val="tx1"/>
                  </w14:solidFill>
                </w14:textFill>
              </w:rPr>
              <w:t>序号</w:t>
            </w:r>
          </w:p>
        </w:tc>
        <w:tc>
          <w:tcPr>
            <w:tcW w:w="986" w:type="dxa"/>
            <w:vAlign w:val="center"/>
          </w:tcPr>
          <w:p>
            <w:pPr>
              <w:widowControl/>
              <w:spacing w:line="340" w:lineRule="exact"/>
              <w:jc w:val="center"/>
              <w:rPr>
                <w:b/>
                <w:bCs/>
                <w:color w:val="000000" w:themeColor="text1"/>
                <w:kern w:val="0"/>
                <w:sz w:val="20"/>
                <w:szCs w:val="20"/>
                <w14:textFill>
                  <w14:solidFill>
                    <w14:schemeClr w14:val="tx1"/>
                  </w14:solidFill>
                </w14:textFill>
              </w:rPr>
            </w:pPr>
            <w:r>
              <w:rPr>
                <w:b/>
                <w:bCs/>
                <w:color w:val="000000" w:themeColor="text1"/>
                <w:kern w:val="0"/>
                <w:sz w:val="20"/>
                <w:szCs w:val="20"/>
                <w14:textFill>
                  <w14:solidFill>
                    <w14:schemeClr w14:val="tx1"/>
                  </w14:solidFill>
                </w14:textFill>
              </w:rPr>
              <w:t>姓名</w:t>
            </w:r>
          </w:p>
        </w:tc>
        <w:tc>
          <w:tcPr>
            <w:tcW w:w="750" w:type="dxa"/>
            <w:vAlign w:val="center"/>
          </w:tcPr>
          <w:p>
            <w:pPr>
              <w:widowControl/>
              <w:spacing w:line="340" w:lineRule="exact"/>
              <w:ind w:left="-84" w:leftChars="-40" w:right="-94" w:rightChars="-45"/>
              <w:jc w:val="center"/>
              <w:rPr>
                <w:b/>
                <w:bCs/>
                <w:color w:val="000000" w:themeColor="text1"/>
                <w:kern w:val="0"/>
                <w:sz w:val="20"/>
                <w:szCs w:val="20"/>
                <w14:textFill>
                  <w14:solidFill>
                    <w14:schemeClr w14:val="tx1"/>
                  </w14:solidFill>
                </w14:textFill>
              </w:rPr>
            </w:pPr>
            <w:r>
              <w:rPr>
                <w:b/>
                <w:bCs/>
                <w:color w:val="000000" w:themeColor="text1"/>
                <w:kern w:val="0"/>
                <w:sz w:val="20"/>
                <w:szCs w:val="20"/>
                <w14:textFill>
                  <w14:solidFill>
                    <w14:schemeClr w14:val="tx1"/>
                  </w14:solidFill>
                </w14:textFill>
              </w:rPr>
              <w:t>姓别</w:t>
            </w:r>
          </w:p>
        </w:tc>
        <w:tc>
          <w:tcPr>
            <w:tcW w:w="2520" w:type="dxa"/>
            <w:vAlign w:val="center"/>
          </w:tcPr>
          <w:p>
            <w:pPr>
              <w:widowControl/>
              <w:spacing w:line="340" w:lineRule="exact"/>
              <w:jc w:val="center"/>
              <w:rPr>
                <w:b/>
                <w:bCs/>
                <w:color w:val="000000" w:themeColor="text1"/>
                <w:kern w:val="0"/>
                <w:sz w:val="20"/>
                <w:szCs w:val="20"/>
                <w14:textFill>
                  <w14:solidFill>
                    <w14:schemeClr w14:val="tx1"/>
                  </w14:solidFill>
                </w14:textFill>
              </w:rPr>
            </w:pPr>
            <w:r>
              <w:rPr>
                <w:b/>
                <w:bCs/>
                <w:color w:val="000000" w:themeColor="text1"/>
                <w:kern w:val="0"/>
                <w:sz w:val="20"/>
                <w:szCs w:val="20"/>
                <w14:textFill>
                  <w14:solidFill>
                    <w14:schemeClr w14:val="tx1"/>
                  </w14:solidFill>
                </w14:textFill>
              </w:rPr>
              <w:t>工作单位</w:t>
            </w:r>
          </w:p>
        </w:tc>
        <w:tc>
          <w:tcPr>
            <w:tcW w:w="2160" w:type="dxa"/>
            <w:vAlign w:val="center"/>
          </w:tcPr>
          <w:p>
            <w:pPr>
              <w:widowControl/>
              <w:spacing w:line="340" w:lineRule="exact"/>
              <w:jc w:val="center"/>
              <w:rPr>
                <w:b/>
                <w:bCs/>
                <w:color w:val="000000" w:themeColor="text1"/>
                <w:kern w:val="0"/>
                <w:sz w:val="20"/>
                <w:szCs w:val="20"/>
                <w14:textFill>
                  <w14:solidFill>
                    <w14:schemeClr w14:val="tx1"/>
                  </w14:solidFill>
                </w14:textFill>
              </w:rPr>
            </w:pPr>
            <w:r>
              <w:rPr>
                <w:b/>
                <w:bCs/>
                <w:color w:val="000000" w:themeColor="text1"/>
                <w:kern w:val="0"/>
                <w:sz w:val="20"/>
                <w:szCs w:val="20"/>
                <w14:textFill>
                  <w14:solidFill>
                    <w14:schemeClr w14:val="tx1"/>
                  </w14:solidFill>
                </w14:textFill>
              </w:rPr>
              <w:t>毕业院校</w:t>
            </w:r>
          </w:p>
        </w:tc>
        <w:tc>
          <w:tcPr>
            <w:tcW w:w="2070" w:type="dxa"/>
            <w:vAlign w:val="center"/>
          </w:tcPr>
          <w:p>
            <w:pPr>
              <w:widowControl/>
              <w:spacing w:line="340" w:lineRule="exact"/>
              <w:jc w:val="center"/>
              <w:rPr>
                <w:b/>
                <w:bCs/>
                <w:color w:val="000000" w:themeColor="text1"/>
                <w:kern w:val="0"/>
                <w:sz w:val="20"/>
                <w:szCs w:val="20"/>
                <w14:textFill>
                  <w14:solidFill>
                    <w14:schemeClr w14:val="tx1"/>
                  </w14:solidFill>
                </w14:textFill>
              </w:rPr>
            </w:pPr>
            <w:r>
              <w:rPr>
                <w:b/>
                <w:bCs/>
                <w:color w:val="000000" w:themeColor="text1"/>
                <w:kern w:val="0"/>
                <w:sz w:val="20"/>
                <w:szCs w:val="20"/>
                <w14:textFill>
                  <w14:solidFill>
                    <w14:schemeClr w14:val="tx1"/>
                  </w14:solidFill>
                </w14:textFill>
              </w:rPr>
              <w:t>专业领域</w:t>
            </w:r>
          </w:p>
        </w:tc>
        <w:tc>
          <w:tcPr>
            <w:tcW w:w="2265" w:type="dxa"/>
            <w:vAlign w:val="center"/>
          </w:tcPr>
          <w:p>
            <w:pPr>
              <w:widowControl/>
              <w:spacing w:line="340" w:lineRule="exact"/>
              <w:jc w:val="center"/>
              <w:rPr>
                <w:b/>
                <w:bCs/>
                <w:color w:val="000000" w:themeColor="text1"/>
                <w:kern w:val="0"/>
                <w:sz w:val="20"/>
                <w:szCs w:val="20"/>
                <w14:textFill>
                  <w14:solidFill>
                    <w14:schemeClr w14:val="tx1"/>
                  </w14:solidFill>
                </w14:textFill>
              </w:rPr>
            </w:pPr>
            <w:r>
              <w:rPr>
                <w:b/>
                <w:bCs/>
                <w:color w:val="000000" w:themeColor="text1"/>
                <w:kern w:val="0"/>
                <w:sz w:val="20"/>
                <w:szCs w:val="20"/>
                <w14:textFill>
                  <w14:solidFill>
                    <w14:schemeClr w14:val="tx1"/>
                  </w14:solidFill>
                </w14:textFill>
              </w:rPr>
              <w:t>职务、职称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61" w:type="dxa"/>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1</w:t>
            </w:r>
          </w:p>
        </w:tc>
        <w:tc>
          <w:tcPr>
            <w:tcW w:w="986"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陈国英</w:t>
            </w:r>
          </w:p>
        </w:tc>
        <w:tc>
          <w:tcPr>
            <w:tcW w:w="75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252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w:t>
            </w:r>
            <w:r>
              <w:rPr>
                <w:rFonts w:hint="eastAsia"/>
                <w:color w:val="000000" w:themeColor="text1"/>
                <w:kern w:val="0"/>
                <w:sz w:val="20"/>
                <w:szCs w:val="20"/>
                <w14:textFill>
                  <w14:solidFill>
                    <w14:schemeClr w14:val="tx1"/>
                  </w14:solidFill>
                </w14:textFill>
              </w:rPr>
              <w:t>市生态环境局</w:t>
            </w:r>
          </w:p>
        </w:tc>
        <w:tc>
          <w:tcPr>
            <w:tcW w:w="216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海军广州舰艇学院</w:t>
            </w:r>
          </w:p>
        </w:tc>
        <w:tc>
          <w:tcPr>
            <w:tcW w:w="207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指挥专业</w:t>
            </w:r>
          </w:p>
        </w:tc>
        <w:tc>
          <w:tcPr>
            <w:tcW w:w="2265"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科长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61" w:type="dxa"/>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2</w:t>
            </w:r>
          </w:p>
        </w:tc>
        <w:tc>
          <w:tcPr>
            <w:tcW w:w="986"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林爱新</w:t>
            </w:r>
          </w:p>
        </w:tc>
        <w:tc>
          <w:tcPr>
            <w:tcW w:w="75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女</w:t>
            </w:r>
          </w:p>
        </w:tc>
        <w:tc>
          <w:tcPr>
            <w:tcW w:w="252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w:t>
            </w:r>
            <w:r>
              <w:rPr>
                <w:rFonts w:hint="eastAsia"/>
                <w:color w:val="000000" w:themeColor="text1"/>
                <w:kern w:val="0"/>
                <w:sz w:val="20"/>
                <w:szCs w:val="20"/>
                <w14:textFill>
                  <w14:solidFill>
                    <w14:schemeClr w14:val="tx1"/>
                  </w14:solidFill>
                </w14:textFill>
              </w:rPr>
              <w:t>市生态环境局</w:t>
            </w:r>
          </w:p>
        </w:tc>
        <w:tc>
          <w:tcPr>
            <w:tcW w:w="216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厦门大学</w:t>
            </w:r>
          </w:p>
        </w:tc>
        <w:tc>
          <w:tcPr>
            <w:tcW w:w="207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植物学、环保</w:t>
            </w:r>
          </w:p>
        </w:tc>
        <w:tc>
          <w:tcPr>
            <w:tcW w:w="2265"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科长、高级工程师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61" w:type="dxa"/>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w:t>
            </w:r>
          </w:p>
        </w:tc>
        <w:tc>
          <w:tcPr>
            <w:tcW w:w="986"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陈必邻</w:t>
            </w:r>
          </w:p>
        </w:tc>
        <w:tc>
          <w:tcPr>
            <w:tcW w:w="75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252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莆田市环科所</w:t>
            </w:r>
          </w:p>
        </w:tc>
        <w:tc>
          <w:tcPr>
            <w:tcW w:w="216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厦门大学</w:t>
            </w:r>
          </w:p>
        </w:tc>
        <w:tc>
          <w:tcPr>
            <w:tcW w:w="207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环保、动物学</w:t>
            </w:r>
          </w:p>
        </w:tc>
        <w:tc>
          <w:tcPr>
            <w:tcW w:w="2265"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61" w:type="dxa"/>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4</w:t>
            </w:r>
          </w:p>
        </w:tc>
        <w:tc>
          <w:tcPr>
            <w:tcW w:w="986"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欧黎闽</w:t>
            </w:r>
          </w:p>
        </w:tc>
        <w:tc>
          <w:tcPr>
            <w:tcW w:w="75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女</w:t>
            </w:r>
          </w:p>
        </w:tc>
        <w:tc>
          <w:tcPr>
            <w:tcW w:w="252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莆田市环科所</w:t>
            </w:r>
          </w:p>
        </w:tc>
        <w:tc>
          <w:tcPr>
            <w:tcW w:w="216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福州大学</w:t>
            </w:r>
          </w:p>
        </w:tc>
        <w:tc>
          <w:tcPr>
            <w:tcW w:w="207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精细化工、环保</w:t>
            </w:r>
          </w:p>
        </w:tc>
        <w:tc>
          <w:tcPr>
            <w:tcW w:w="2265"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所长、高级工程师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61" w:type="dxa"/>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5</w:t>
            </w:r>
          </w:p>
        </w:tc>
        <w:tc>
          <w:tcPr>
            <w:tcW w:w="986"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肖金树</w:t>
            </w:r>
          </w:p>
        </w:tc>
        <w:tc>
          <w:tcPr>
            <w:tcW w:w="75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252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莆田市环科所</w:t>
            </w:r>
          </w:p>
        </w:tc>
        <w:tc>
          <w:tcPr>
            <w:tcW w:w="216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北京农业大学</w:t>
            </w:r>
          </w:p>
        </w:tc>
        <w:tc>
          <w:tcPr>
            <w:tcW w:w="207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农业环境保护</w:t>
            </w:r>
          </w:p>
        </w:tc>
        <w:tc>
          <w:tcPr>
            <w:tcW w:w="2265"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61" w:type="dxa"/>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6</w:t>
            </w:r>
          </w:p>
        </w:tc>
        <w:tc>
          <w:tcPr>
            <w:tcW w:w="986"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吕福春</w:t>
            </w:r>
          </w:p>
        </w:tc>
        <w:tc>
          <w:tcPr>
            <w:tcW w:w="75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252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莆田市环科所</w:t>
            </w:r>
          </w:p>
        </w:tc>
        <w:tc>
          <w:tcPr>
            <w:tcW w:w="216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厦门大学</w:t>
            </w:r>
          </w:p>
        </w:tc>
        <w:tc>
          <w:tcPr>
            <w:tcW w:w="207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环保、生物化学</w:t>
            </w:r>
          </w:p>
        </w:tc>
        <w:tc>
          <w:tcPr>
            <w:tcW w:w="2265"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61" w:type="dxa"/>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7</w:t>
            </w:r>
          </w:p>
        </w:tc>
        <w:tc>
          <w:tcPr>
            <w:tcW w:w="986"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刘海英</w:t>
            </w:r>
          </w:p>
        </w:tc>
        <w:tc>
          <w:tcPr>
            <w:tcW w:w="75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女</w:t>
            </w:r>
          </w:p>
        </w:tc>
        <w:tc>
          <w:tcPr>
            <w:tcW w:w="252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莆田市环科所</w:t>
            </w:r>
          </w:p>
        </w:tc>
        <w:tc>
          <w:tcPr>
            <w:tcW w:w="216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福州大学</w:t>
            </w:r>
          </w:p>
        </w:tc>
        <w:tc>
          <w:tcPr>
            <w:tcW w:w="207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大学分析化学、环保</w:t>
            </w:r>
          </w:p>
        </w:tc>
        <w:tc>
          <w:tcPr>
            <w:tcW w:w="2265"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61" w:type="dxa"/>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8</w:t>
            </w:r>
          </w:p>
        </w:tc>
        <w:tc>
          <w:tcPr>
            <w:tcW w:w="986"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刘开国</w:t>
            </w:r>
          </w:p>
        </w:tc>
        <w:tc>
          <w:tcPr>
            <w:tcW w:w="75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252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莆田市环境监测中心站</w:t>
            </w:r>
          </w:p>
        </w:tc>
        <w:tc>
          <w:tcPr>
            <w:tcW w:w="216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福州大学</w:t>
            </w:r>
          </w:p>
        </w:tc>
        <w:tc>
          <w:tcPr>
            <w:tcW w:w="207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化学工程</w:t>
            </w:r>
          </w:p>
        </w:tc>
        <w:tc>
          <w:tcPr>
            <w:tcW w:w="2265"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站长、高级工程师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61" w:type="dxa"/>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9</w:t>
            </w:r>
          </w:p>
        </w:tc>
        <w:tc>
          <w:tcPr>
            <w:tcW w:w="986"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张志鹏</w:t>
            </w:r>
          </w:p>
        </w:tc>
        <w:tc>
          <w:tcPr>
            <w:tcW w:w="75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252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莆田市环境监测中心站</w:t>
            </w:r>
          </w:p>
        </w:tc>
        <w:tc>
          <w:tcPr>
            <w:tcW w:w="216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福建农业大学</w:t>
            </w:r>
          </w:p>
        </w:tc>
        <w:tc>
          <w:tcPr>
            <w:tcW w:w="207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土壤与农业化学</w:t>
            </w:r>
          </w:p>
        </w:tc>
        <w:tc>
          <w:tcPr>
            <w:tcW w:w="2265"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副站长、高级工程师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61" w:type="dxa"/>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10</w:t>
            </w:r>
          </w:p>
        </w:tc>
        <w:tc>
          <w:tcPr>
            <w:tcW w:w="986"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朱能文</w:t>
            </w:r>
          </w:p>
        </w:tc>
        <w:tc>
          <w:tcPr>
            <w:tcW w:w="75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252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莆田市环境监测中心站</w:t>
            </w:r>
          </w:p>
        </w:tc>
        <w:tc>
          <w:tcPr>
            <w:tcW w:w="216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北京气象学院</w:t>
            </w:r>
          </w:p>
        </w:tc>
        <w:tc>
          <w:tcPr>
            <w:tcW w:w="207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大气探测、气象</w:t>
            </w:r>
          </w:p>
        </w:tc>
        <w:tc>
          <w:tcPr>
            <w:tcW w:w="2265"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61" w:type="dxa"/>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11</w:t>
            </w:r>
          </w:p>
        </w:tc>
        <w:tc>
          <w:tcPr>
            <w:tcW w:w="986"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陈荔峰</w:t>
            </w:r>
          </w:p>
        </w:tc>
        <w:tc>
          <w:tcPr>
            <w:tcW w:w="75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252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莆田市环境监测中心站</w:t>
            </w:r>
          </w:p>
        </w:tc>
        <w:tc>
          <w:tcPr>
            <w:tcW w:w="216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福州大学</w:t>
            </w:r>
          </w:p>
        </w:tc>
        <w:tc>
          <w:tcPr>
            <w:tcW w:w="207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电气自动化</w:t>
            </w:r>
          </w:p>
        </w:tc>
        <w:tc>
          <w:tcPr>
            <w:tcW w:w="2265"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61" w:type="dxa"/>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12</w:t>
            </w:r>
          </w:p>
        </w:tc>
        <w:tc>
          <w:tcPr>
            <w:tcW w:w="986"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史晓卫</w:t>
            </w:r>
          </w:p>
        </w:tc>
        <w:tc>
          <w:tcPr>
            <w:tcW w:w="75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252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莆田市环境监测中心站</w:t>
            </w:r>
          </w:p>
        </w:tc>
        <w:tc>
          <w:tcPr>
            <w:tcW w:w="216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太原理工大学</w:t>
            </w:r>
          </w:p>
        </w:tc>
        <w:tc>
          <w:tcPr>
            <w:tcW w:w="207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精细化工</w:t>
            </w:r>
          </w:p>
        </w:tc>
        <w:tc>
          <w:tcPr>
            <w:tcW w:w="2265"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61" w:type="dxa"/>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13</w:t>
            </w:r>
          </w:p>
        </w:tc>
        <w:tc>
          <w:tcPr>
            <w:tcW w:w="986"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肖永兴</w:t>
            </w:r>
          </w:p>
        </w:tc>
        <w:tc>
          <w:tcPr>
            <w:tcW w:w="75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252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莆田市环境监测中心站</w:t>
            </w:r>
          </w:p>
        </w:tc>
        <w:tc>
          <w:tcPr>
            <w:tcW w:w="216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福建师范大学</w:t>
            </w:r>
          </w:p>
        </w:tc>
        <w:tc>
          <w:tcPr>
            <w:tcW w:w="207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环境化学与监测</w:t>
            </w:r>
          </w:p>
        </w:tc>
        <w:tc>
          <w:tcPr>
            <w:tcW w:w="2265"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站长、高级工程师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61" w:type="dxa"/>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14</w:t>
            </w:r>
          </w:p>
        </w:tc>
        <w:tc>
          <w:tcPr>
            <w:tcW w:w="986"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龚美兰</w:t>
            </w:r>
          </w:p>
        </w:tc>
        <w:tc>
          <w:tcPr>
            <w:tcW w:w="75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女</w:t>
            </w:r>
          </w:p>
        </w:tc>
        <w:tc>
          <w:tcPr>
            <w:tcW w:w="252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莆田市环境监测中心站</w:t>
            </w:r>
          </w:p>
        </w:tc>
        <w:tc>
          <w:tcPr>
            <w:tcW w:w="216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长沙冶金工业学校</w:t>
            </w:r>
          </w:p>
        </w:tc>
        <w:tc>
          <w:tcPr>
            <w:tcW w:w="207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分析化学</w:t>
            </w:r>
          </w:p>
        </w:tc>
        <w:tc>
          <w:tcPr>
            <w:tcW w:w="2265"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661" w:type="dxa"/>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15</w:t>
            </w:r>
          </w:p>
        </w:tc>
        <w:tc>
          <w:tcPr>
            <w:tcW w:w="986"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陈冰</w:t>
            </w:r>
          </w:p>
        </w:tc>
        <w:tc>
          <w:tcPr>
            <w:tcW w:w="75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男</w:t>
            </w:r>
          </w:p>
        </w:tc>
        <w:tc>
          <w:tcPr>
            <w:tcW w:w="252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莆田市环境监测中心站</w:t>
            </w:r>
          </w:p>
        </w:tc>
        <w:tc>
          <w:tcPr>
            <w:tcW w:w="216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厦门大学</w:t>
            </w:r>
          </w:p>
        </w:tc>
        <w:tc>
          <w:tcPr>
            <w:tcW w:w="207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化学、环境监测</w:t>
            </w:r>
          </w:p>
        </w:tc>
        <w:tc>
          <w:tcPr>
            <w:tcW w:w="2265"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股长、高级工程师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61" w:type="dxa"/>
            <w:vAlign w:val="center"/>
          </w:tcPr>
          <w:p>
            <w:pPr>
              <w:widowControl/>
              <w:spacing w:line="340" w:lineRule="exact"/>
              <w:jc w:val="center"/>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16</w:t>
            </w:r>
          </w:p>
        </w:tc>
        <w:tc>
          <w:tcPr>
            <w:tcW w:w="986"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刘赛男</w:t>
            </w:r>
          </w:p>
        </w:tc>
        <w:tc>
          <w:tcPr>
            <w:tcW w:w="75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女</w:t>
            </w:r>
          </w:p>
        </w:tc>
        <w:tc>
          <w:tcPr>
            <w:tcW w:w="252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莆田市环境监测中心站</w:t>
            </w:r>
          </w:p>
        </w:tc>
        <w:tc>
          <w:tcPr>
            <w:tcW w:w="216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福州大学</w:t>
            </w:r>
          </w:p>
        </w:tc>
        <w:tc>
          <w:tcPr>
            <w:tcW w:w="2070"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化工环保</w:t>
            </w:r>
          </w:p>
        </w:tc>
        <w:tc>
          <w:tcPr>
            <w:tcW w:w="2265" w:type="dxa"/>
            <w:vAlign w:val="center"/>
          </w:tcPr>
          <w:p>
            <w:pPr>
              <w:widowControl/>
              <w:spacing w:line="340" w:lineRule="exact"/>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高级工程师</w:t>
            </w:r>
          </w:p>
        </w:tc>
      </w:tr>
    </w:tbl>
    <w:p>
      <w:pPr>
        <w:pStyle w:val="32"/>
        <w:rPr>
          <w:color w:val="000000" w:themeColor="text1"/>
          <w14:textFill>
            <w14:solidFill>
              <w14:schemeClr w14:val="tx1"/>
            </w14:solidFill>
          </w14:textFill>
        </w:rPr>
      </w:pPr>
    </w:p>
    <w:sectPr>
      <w:footerReference r:id="rId5" w:type="default"/>
      <w:pgSz w:w="16838" w:h="11906" w:orient="landscape"/>
      <w:pgMar w:top="1020" w:right="1134" w:bottom="1020" w:left="1134"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713F22"/>
    <w:multiLevelType w:val="multilevel"/>
    <w:tmpl w:val="3A713F22"/>
    <w:lvl w:ilvl="0" w:tentative="0">
      <w:start w:val="1"/>
      <w:numFmt w:val="decimal"/>
      <w:pStyle w:val="99"/>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201"/>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kYWI2MzQ3N2ZlNjA2NmU1YWNiMzg3ZDk4Nzk1N2UifQ=="/>
  </w:docVars>
  <w:rsids>
    <w:rsidRoot w:val="00E532D8"/>
    <w:rsid w:val="00007211"/>
    <w:rsid w:val="00031237"/>
    <w:rsid w:val="000314B1"/>
    <w:rsid w:val="00033B47"/>
    <w:rsid w:val="00035983"/>
    <w:rsid w:val="00041239"/>
    <w:rsid w:val="00042628"/>
    <w:rsid w:val="000525E4"/>
    <w:rsid w:val="00062839"/>
    <w:rsid w:val="000940C6"/>
    <w:rsid w:val="000C29DA"/>
    <w:rsid w:val="000F18F8"/>
    <w:rsid w:val="0010074F"/>
    <w:rsid w:val="00114D07"/>
    <w:rsid w:val="00132D62"/>
    <w:rsid w:val="00135940"/>
    <w:rsid w:val="0015420B"/>
    <w:rsid w:val="00157682"/>
    <w:rsid w:val="0016052D"/>
    <w:rsid w:val="001913F4"/>
    <w:rsid w:val="00193AD1"/>
    <w:rsid w:val="001A6984"/>
    <w:rsid w:val="001D1AC1"/>
    <w:rsid w:val="001E0A02"/>
    <w:rsid w:val="001E255C"/>
    <w:rsid w:val="002015F5"/>
    <w:rsid w:val="00210136"/>
    <w:rsid w:val="0023422D"/>
    <w:rsid w:val="00240ADE"/>
    <w:rsid w:val="00241377"/>
    <w:rsid w:val="00241463"/>
    <w:rsid w:val="002420A1"/>
    <w:rsid w:val="00250052"/>
    <w:rsid w:val="0025605E"/>
    <w:rsid w:val="00264590"/>
    <w:rsid w:val="0027309E"/>
    <w:rsid w:val="0027601B"/>
    <w:rsid w:val="00287AD7"/>
    <w:rsid w:val="002908F0"/>
    <w:rsid w:val="00296751"/>
    <w:rsid w:val="002974D4"/>
    <w:rsid w:val="002A2832"/>
    <w:rsid w:val="002A63B7"/>
    <w:rsid w:val="002C2892"/>
    <w:rsid w:val="002E279D"/>
    <w:rsid w:val="002F768D"/>
    <w:rsid w:val="003060B0"/>
    <w:rsid w:val="00311B6A"/>
    <w:rsid w:val="00323271"/>
    <w:rsid w:val="00332C30"/>
    <w:rsid w:val="00332D2A"/>
    <w:rsid w:val="0033566D"/>
    <w:rsid w:val="00360636"/>
    <w:rsid w:val="00365925"/>
    <w:rsid w:val="003817A2"/>
    <w:rsid w:val="00386652"/>
    <w:rsid w:val="003A0F82"/>
    <w:rsid w:val="003C2733"/>
    <w:rsid w:val="003C4722"/>
    <w:rsid w:val="003C6E0A"/>
    <w:rsid w:val="003D27F6"/>
    <w:rsid w:val="003E17B7"/>
    <w:rsid w:val="003E5C7A"/>
    <w:rsid w:val="003F5D94"/>
    <w:rsid w:val="00427369"/>
    <w:rsid w:val="00436FAE"/>
    <w:rsid w:val="0045096E"/>
    <w:rsid w:val="00456B00"/>
    <w:rsid w:val="00467307"/>
    <w:rsid w:val="00472521"/>
    <w:rsid w:val="00472606"/>
    <w:rsid w:val="0048656F"/>
    <w:rsid w:val="004A10D1"/>
    <w:rsid w:val="004A2A03"/>
    <w:rsid w:val="004B1992"/>
    <w:rsid w:val="004B4E3C"/>
    <w:rsid w:val="004F3003"/>
    <w:rsid w:val="00500B0F"/>
    <w:rsid w:val="00504E25"/>
    <w:rsid w:val="00512350"/>
    <w:rsid w:val="00522B89"/>
    <w:rsid w:val="00523F37"/>
    <w:rsid w:val="00532AE5"/>
    <w:rsid w:val="00545155"/>
    <w:rsid w:val="00564F49"/>
    <w:rsid w:val="005959A5"/>
    <w:rsid w:val="005B1F6B"/>
    <w:rsid w:val="005C06AD"/>
    <w:rsid w:val="005E672B"/>
    <w:rsid w:val="005F1C04"/>
    <w:rsid w:val="00640119"/>
    <w:rsid w:val="006436EF"/>
    <w:rsid w:val="0065065E"/>
    <w:rsid w:val="00652537"/>
    <w:rsid w:val="006533F6"/>
    <w:rsid w:val="00655975"/>
    <w:rsid w:val="006560D3"/>
    <w:rsid w:val="0066334D"/>
    <w:rsid w:val="006825E7"/>
    <w:rsid w:val="006A0E35"/>
    <w:rsid w:val="006C0D31"/>
    <w:rsid w:val="006D10B1"/>
    <w:rsid w:val="006E7312"/>
    <w:rsid w:val="006E79D3"/>
    <w:rsid w:val="006E7C04"/>
    <w:rsid w:val="007072AB"/>
    <w:rsid w:val="00714B66"/>
    <w:rsid w:val="00722559"/>
    <w:rsid w:val="00751B31"/>
    <w:rsid w:val="00752988"/>
    <w:rsid w:val="00771D4E"/>
    <w:rsid w:val="007754F6"/>
    <w:rsid w:val="0077736F"/>
    <w:rsid w:val="0079038B"/>
    <w:rsid w:val="007B3755"/>
    <w:rsid w:val="007B7BFE"/>
    <w:rsid w:val="007C3B06"/>
    <w:rsid w:val="007D0158"/>
    <w:rsid w:val="007D46E6"/>
    <w:rsid w:val="007F15F3"/>
    <w:rsid w:val="00802B5E"/>
    <w:rsid w:val="00823531"/>
    <w:rsid w:val="00825B58"/>
    <w:rsid w:val="008266A3"/>
    <w:rsid w:val="00831333"/>
    <w:rsid w:val="008359FB"/>
    <w:rsid w:val="00835D37"/>
    <w:rsid w:val="008456D0"/>
    <w:rsid w:val="00863D17"/>
    <w:rsid w:val="008922E9"/>
    <w:rsid w:val="00894E31"/>
    <w:rsid w:val="008A4C68"/>
    <w:rsid w:val="008C2A67"/>
    <w:rsid w:val="008D422D"/>
    <w:rsid w:val="008E1566"/>
    <w:rsid w:val="008F1064"/>
    <w:rsid w:val="0092111C"/>
    <w:rsid w:val="00935F09"/>
    <w:rsid w:val="00974016"/>
    <w:rsid w:val="00974A70"/>
    <w:rsid w:val="00975B2D"/>
    <w:rsid w:val="009930E9"/>
    <w:rsid w:val="009A2C59"/>
    <w:rsid w:val="009E7028"/>
    <w:rsid w:val="00A131C7"/>
    <w:rsid w:val="00A35605"/>
    <w:rsid w:val="00A46275"/>
    <w:rsid w:val="00A700DE"/>
    <w:rsid w:val="00A95546"/>
    <w:rsid w:val="00A970F5"/>
    <w:rsid w:val="00A97ECD"/>
    <w:rsid w:val="00AA5A79"/>
    <w:rsid w:val="00AB0338"/>
    <w:rsid w:val="00AC69D5"/>
    <w:rsid w:val="00AE38B0"/>
    <w:rsid w:val="00AE5A9A"/>
    <w:rsid w:val="00AF0581"/>
    <w:rsid w:val="00B06960"/>
    <w:rsid w:val="00B11F93"/>
    <w:rsid w:val="00B24014"/>
    <w:rsid w:val="00B42C71"/>
    <w:rsid w:val="00B459C1"/>
    <w:rsid w:val="00B6007C"/>
    <w:rsid w:val="00B6279D"/>
    <w:rsid w:val="00B80FE3"/>
    <w:rsid w:val="00B82973"/>
    <w:rsid w:val="00BB3366"/>
    <w:rsid w:val="00BF05B4"/>
    <w:rsid w:val="00BF6C22"/>
    <w:rsid w:val="00C22124"/>
    <w:rsid w:val="00C2657F"/>
    <w:rsid w:val="00C50D40"/>
    <w:rsid w:val="00C53896"/>
    <w:rsid w:val="00C97565"/>
    <w:rsid w:val="00CB49E6"/>
    <w:rsid w:val="00CB5A88"/>
    <w:rsid w:val="00CC7062"/>
    <w:rsid w:val="00CD1B91"/>
    <w:rsid w:val="00CF362E"/>
    <w:rsid w:val="00CF5893"/>
    <w:rsid w:val="00D10D49"/>
    <w:rsid w:val="00D200D1"/>
    <w:rsid w:val="00D273C7"/>
    <w:rsid w:val="00D41BF4"/>
    <w:rsid w:val="00D60185"/>
    <w:rsid w:val="00D65DCE"/>
    <w:rsid w:val="00D67A22"/>
    <w:rsid w:val="00D7478B"/>
    <w:rsid w:val="00D85C94"/>
    <w:rsid w:val="00DA1F77"/>
    <w:rsid w:val="00DC3886"/>
    <w:rsid w:val="00DC615A"/>
    <w:rsid w:val="00DC6493"/>
    <w:rsid w:val="00DE496B"/>
    <w:rsid w:val="00E06D88"/>
    <w:rsid w:val="00E1525A"/>
    <w:rsid w:val="00E23D53"/>
    <w:rsid w:val="00E42A79"/>
    <w:rsid w:val="00E532D8"/>
    <w:rsid w:val="00E6435E"/>
    <w:rsid w:val="00E65EB9"/>
    <w:rsid w:val="00E73777"/>
    <w:rsid w:val="00E86E32"/>
    <w:rsid w:val="00E951F8"/>
    <w:rsid w:val="00EB1971"/>
    <w:rsid w:val="00EB1D6B"/>
    <w:rsid w:val="00EC1E2C"/>
    <w:rsid w:val="00ED3F98"/>
    <w:rsid w:val="00EF26AF"/>
    <w:rsid w:val="00F10779"/>
    <w:rsid w:val="00F109A8"/>
    <w:rsid w:val="00F26141"/>
    <w:rsid w:val="00F36EF0"/>
    <w:rsid w:val="00F377CD"/>
    <w:rsid w:val="00F7622B"/>
    <w:rsid w:val="00F937F9"/>
    <w:rsid w:val="00FA221C"/>
    <w:rsid w:val="00FA326F"/>
    <w:rsid w:val="00FA6AC3"/>
    <w:rsid w:val="00FB4074"/>
    <w:rsid w:val="00FB70E0"/>
    <w:rsid w:val="00FC5442"/>
    <w:rsid w:val="00FD604C"/>
    <w:rsid w:val="00FE13A1"/>
    <w:rsid w:val="00FF4881"/>
    <w:rsid w:val="010356D3"/>
    <w:rsid w:val="010E7F14"/>
    <w:rsid w:val="01446701"/>
    <w:rsid w:val="01527AF2"/>
    <w:rsid w:val="01856B6F"/>
    <w:rsid w:val="01BA5FDF"/>
    <w:rsid w:val="01C97EE3"/>
    <w:rsid w:val="01FD0830"/>
    <w:rsid w:val="020B19E3"/>
    <w:rsid w:val="020B2268"/>
    <w:rsid w:val="02966994"/>
    <w:rsid w:val="031E2F4D"/>
    <w:rsid w:val="0396013C"/>
    <w:rsid w:val="03C50C16"/>
    <w:rsid w:val="03CE4BFE"/>
    <w:rsid w:val="041B3B60"/>
    <w:rsid w:val="0420050F"/>
    <w:rsid w:val="04286254"/>
    <w:rsid w:val="04B83BC8"/>
    <w:rsid w:val="04CE7737"/>
    <w:rsid w:val="04E00773"/>
    <w:rsid w:val="050E1446"/>
    <w:rsid w:val="057E18CE"/>
    <w:rsid w:val="05C77428"/>
    <w:rsid w:val="05CC4034"/>
    <w:rsid w:val="05D14D68"/>
    <w:rsid w:val="06304528"/>
    <w:rsid w:val="065A495F"/>
    <w:rsid w:val="065E44AC"/>
    <w:rsid w:val="067F7517"/>
    <w:rsid w:val="06E5359A"/>
    <w:rsid w:val="070C7597"/>
    <w:rsid w:val="074110A0"/>
    <w:rsid w:val="075624B4"/>
    <w:rsid w:val="078B2EBE"/>
    <w:rsid w:val="07FA723C"/>
    <w:rsid w:val="087D6A33"/>
    <w:rsid w:val="08835B0F"/>
    <w:rsid w:val="08A40C02"/>
    <w:rsid w:val="09242E5D"/>
    <w:rsid w:val="092E1277"/>
    <w:rsid w:val="09375A6F"/>
    <w:rsid w:val="094E766C"/>
    <w:rsid w:val="0A073082"/>
    <w:rsid w:val="0A145D39"/>
    <w:rsid w:val="0A392B9C"/>
    <w:rsid w:val="0A7A1AB6"/>
    <w:rsid w:val="0AA90F96"/>
    <w:rsid w:val="0ABF1812"/>
    <w:rsid w:val="0AC563DD"/>
    <w:rsid w:val="0ADB68EB"/>
    <w:rsid w:val="0B4A38CE"/>
    <w:rsid w:val="0B512A33"/>
    <w:rsid w:val="0B682827"/>
    <w:rsid w:val="0BA2384D"/>
    <w:rsid w:val="0C6F5A2C"/>
    <w:rsid w:val="0CB47E68"/>
    <w:rsid w:val="0CD741A4"/>
    <w:rsid w:val="0CF373D9"/>
    <w:rsid w:val="0D604A71"/>
    <w:rsid w:val="0D737AFB"/>
    <w:rsid w:val="0DA3405B"/>
    <w:rsid w:val="0DAD55FD"/>
    <w:rsid w:val="0E0E4C9D"/>
    <w:rsid w:val="0EE54057"/>
    <w:rsid w:val="0F092EA6"/>
    <w:rsid w:val="0F194967"/>
    <w:rsid w:val="0FE4221A"/>
    <w:rsid w:val="102352DE"/>
    <w:rsid w:val="103D3C21"/>
    <w:rsid w:val="10432FF2"/>
    <w:rsid w:val="10C40BD2"/>
    <w:rsid w:val="1120500B"/>
    <w:rsid w:val="11490964"/>
    <w:rsid w:val="11847974"/>
    <w:rsid w:val="11B964A4"/>
    <w:rsid w:val="11FB3D60"/>
    <w:rsid w:val="12154554"/>
    <w:rsid w:val="12414760"/>
    <w:rsid w:val="128D556C"/>
    <w:rsid w:val="13035741"/>
    <w:rsid w:val="1338739C"/>
    <w:rsid w:val="136626E2"/>
    <w:rsid w:val="138B3E8E"/>
    <w:rsid w:val="13CC6400"/>
    <w:rsid w:val="142674C8"/>
    <w:rsid w:val="14423C35"/>
    <w:rsid w:val="14437E91"/>
    <w:rsid w:val="14894E16"/>
    <w:rsid w:val="15167B7A"/>
    <w:rsid w:val="1533208A"/>
    <w:rsid w:val="156E0438"/>
    <w:rsid w:val="16095DE8"/>
    <w:rsid w:val="1618230F"/>
    <w:rsid w:val="16965CAF"/>
    <w:rsid w:val="16A8190A"/>
    <w:rsid w:val="16DC7A7F"/>
    <w:rsid w:val="172E2DD6"/>
    <w:rsid w:val="17A86A33"/>
    <w:rsid w:val="17E43758"/>
    <w:rsid w:val="183C123E"/>
    <w:rsid w:val="188D2F78"/>
    <w:rsid w:val="18A63101"/>
    <w:rsid w:val="18B83D5D"/>
    <w:rsid w:val="18C06C1F"/>
    <w:rsid w:val="18C938E0"/>
    <w:rsid w:val="19312823"/>
    <w:rsid w:val="19521363"/>
    <w:rsid w:val="198D0BD8"/>
    <w:rsid w:val="199A516C"/>
    <w:rsid w:val="1AB05473"/>
    <w:rsid w:val="1BAE4E7F"/>
    <w:rsid w:val="1C232502"/>
    <w:rsid w:val="1C2917CA"/>
    <w:rsid w:val="1C2F7704"/>
    <w:rsid w:val="1CA65608"/>
    <w:rsid w:val="1CD918FF"/>
    <w:rsid w:val="1CDA7809"/>
    <w:rsid w:val="1CF21949"/>
    <w:rsid w:val="1D024FA2"/>
    <w:rsid w:val="1D650373"/>
    <w:rsid w:val="1E422328"/>
    <w:rsid w:val="1E685BCF"/>
    <w:rsid w:val="1E6E5502"/>
    <w:rsid w:val="1ED0622A"/>
    <w:rsid w:val="1F1A1640"/>
    <w:rsid w:val="1F265508"/>
    <w:rsid w:val="1F4E0B0D"/>
    <w:rsid w:val="1F590948"/>
    <w:rsid w:val="1F6B4551"/>
    <w:rsid w:val="1FA6049E"/>
    <w:rsid w:val="1FCB756D"/>
    <w:rsid w:val="1FF02292"/>
    <w:rsid w:val="20231CF5"/>
    <w:rsid w:val="206E5FD3"/>
    <w:rsid w:val="209C74EA"/>
    <w:rsid w:val="22BD2BDA"/>
    <w:rsid w:val="22D923F4"/>
    <w:rsid w:val="243532A5"/>
    <w:rsid w:val="24372F37"/>
    <w:rsid w:val="245C1686"/>
    <w:rsid w:val="24B913CE"/>
    <w:rsid w:val="251A4132"/>
    <w:rsid w:val="25AD76BA"/>
    <w:rsid w:val="25E126E9"/>
    <w:rsid w:val="26B809BF"/>
    <w:rsid w:val="26E0663F"/>
    <w:rsid w:val="2700274F"/>
    <w:rsid w:val="272547B2"/>
    <w:rsid w:val="27C875DD"/>
    <w:rsid w:val="27DB0304"/>
    <w:rsid w:val="27EA5963"/>
    <w:rsid w:val="28812EC3"/>
    <w:rsid w:val="295635F0"/>
    <w:rsid w:val="29A74D33"/>
    <w:rsid w:val="29D553A8"/>
    <w:rsid w:val="2AA01780"/>
    <w:rsid w:val="2AE10A69"/>
    <w:rsid w:val="2AF47AFF"/>
    <w:rsid w:val="2B157969"/>
    <w:rsid w:val="2B1F459C"/>
    <w:rsid w:val="2C204B8C"/>
    <w:rsid w:val="2C28718D"/>
    <w:rsid w:val="2C3C1B0D"/>
    <w:rsid w:val="2CB50AF1"/>
    <w:rsid w:val="2D3A25D1"/>
    <w:rsid w:val="2E0765FD"/>
    <w:rsid w:val="2E185223"/>
    <w:rsid w:val="2E53497B"/>
    <w:rsid w:val="2E6957C1"/>
    <w:rsid w:val="2ED24C7B"/>
    <w:rsid w:val="2EF80010"/>
    <w:rsid w:val="2F4B52CB"/>
    <w:rsid w:val="2F5129F0"/>
    <w:rsid w:val="2F7560F9"/>
    <w:rsid w:val="2FBA204D"/>
    <w:rsid w:val="2FEE2B81"/>
    <w:rsid w:val="30437074"/>
    <w:rsid w:val="30B33995"/>
    <w:rsid w:val="30FC42AA"/>
    <w:rsid w:val="30FF65AA"/>
    <w:rsid w:val="310E7467"/>
    <w:rsid w:val="314C2834"/>
    <w:rsid w:val="3188102C"/>
    <w:rsid w:val="32134F1B"/>
    <w:rsid w:val="32211D4E"/>
    <w:rsid w:val="323C7608"/>
    <w:rsid w:val="3247748A"/>
    <w:rsid w:val="32707C45"/>
    <w:rsid w:val="32A76791"/>
    <w:rsid w:val="32F96A59"/>
    <w:rsid w:val="32FF7C56"/>
    <w:rsid w:val="330D0D12"/>
    <w:rsid w:val="33270FF2"/>
    <w:rsid w:val="33A6770C"/>
    <w:rsid w:val="33B43E16"/>
    <w:rsid w:val="34504DE2"/>
    <w:rsid w:val="34D427C4"/>
    <w:rsid w:val="34F74E73"/>
    <w:rsid w:val="3543348F"/>
    <w:rsid w:val="36AA6885"/>
    <w:rsid w:val="36E0660A"/>
    <w:rsid w:val="37295609"/>
    <w:rsid w:val="37B679B2"/>
    <w:rsid w:val="37EA6311"/>
    <w:rsid w:val="389E7AA5"/>
    <w:rsid w:val="3948795B"/>
    <w:rsid w:val="39572F86"/>
    <w:rsid w:val="39CD6690"/>
    <w:rsid w:val="39D817A3"/>
    <w:rsid w:val="3A014F61"/>
    <w:rsid w:val="3A137B1E"/>
    <w:rsid w:val="3A1D4815"/>
    <w:rsid w:val="3A6740AF"/>
    <w:rsid w:val="3AA930A6"/>
    <w:rsid w:val="3B1B78D3"/>
    <w:rsid w:val="3B505256"/>
    <w:rsid w:val="3BA95950"/>
    <w:rsid w:val="3C7B79E4"/>
    <w:rsid w:val="3D416DDB"/>
    <w:rsid w:val="3D5726C5"/>
    <w:rsid w:val="3D587EE0"/>
    <w:rsid w:val="3D6D69FF"/>
    <w:rsid w:val="3D790729"/>
    <w:rsid w:val="3D7D0756"/>
    <w:rsid w:val="3D9B4D38"/>
    <w:rsid w:val="3DD708FF"/>
    <w:rsid w:val="3DF550FC"/>
    <w:rsid w:val="3E4435C2"/>
    <w:rsid w:val="3E5C4A91"/>
    <w:rsid w:val="3EB126FC"/>
    <w:rsid w:val="3EDD13B3"/>
    <w:rsid w:val="3FB83B46"/>
    <w:rsid w:val="402F7BEB"/>
    <w:rsid w:val="404873A1"/>
    <w:rsid w:val="408A271E"/>
    <w:rsid w:val="40FC7831"/>
    <w:rsid w:val="414054D6"/>
    <w:rsid w:val="41C84BFF"/>
    <w:rsid w:val="42A050F9"/>
    <w:rsid w:val="431D684C"/>
    <w:rsid w:val="433B6F86"/>
    <w:rsid w:val="44012052"/>
    <w:rsid w:val="44544A70"/>
    <w:rsid w:val="446076C3"/>
    <w:rsid w:val="44B60810"/>
    <w:rsid w:val="44FB7FC6"/>
    <w:rsid w:val="451254E5"/>
    <w:rsid w:val="453625B1"/>
    <w:rsid w:val="462755EE"/>
    <w:rsid w:val="4666773D"/>
    <w:rsid w:val="468C3FA7"/>
    <w:rsid w:val="47156511"/>
    <w:rsid w:val="47397AD0"/>
    <w:rsid w:val="47547DD3"/>
    <w:rsid w:val="479E5DA9"/>
    <w:rsid w:val="47B548F2"/>
    <w:rsid w:val="47CA6E6E"/>
    <w:rsid w:val="484559AB"/>
    <w:rsid w:val="484B1508"/>
    <w:rsid w:val="48BA2DE4"/>
    <w:rsid w:val="498F5088"/>
    <w:rsid w:val="4A714FE0"/>
    <w:rsid w:val="4A84786A"/>
    <w:rsid w:val="4AFE1AB9"/>
    <w:rsid w:val="4B487D7B"/>
    <w:rsid w:val="4BBB0281"/>
    <w:rsid w:val="4C316C2C"/>
    <w:rsid w:val="4C933AC3"/>
    <w:rsid w:val="4CB64BB1"/>
    <w:rsid w:val="4DFE1FE1"/>
    <w:rsid w:val="4E434753"/>
    <w:rsid w:val="4E786586"/>
    <w:rsid w:val="4E9838B5"/>
    <w:rsid w:val="4EC166E2"/>
    <w:rsid w:val="4F202402"/>
    <w:rsid w:val="4F4D205C"/>
    <w:rsid w:val="4F627325"/>
    <w:rsid w:val="4F9802FB"/>
    <w:rsid w:val="4FB45CD4"/>
    <w:rsid w:val="4FC05AD0"/>
    <w:rsid w:val="4FC30485"/>
    <w:rsid w:val="50153C8D"/>
    <w:rsid w:val="508F7FE2"/>
    <w:rsid w:val="50C0182B"/>
    <w:rsid w:val="520328FE"/>
    <w:rsid w:val="52336174"/>
    <w:rsid w:val="52413306"/>
    <w:rsid w:val="52D71D7F"/>
    <w:rsid w:val="52E86507"/>
    <w:rsid w:val="5348455B"/>
    <w:rsid w:val="53700A01"/>
    <w:rsid w:val="53CB2156"/>
    <w:rsid w:val="53E05D47"/>
    <w:rsid w:val="53E90852"/>
    <w:rsid w:val="543F4D73"/>
    <w:rsid w:val="54565FFA"/>
    <w:rsid w:val="54B07DE9"/>
    <w:rsid w:val="54FE3E2B"/>
    <w:rsid w:val="55060AF7"/>
    <w:rsid w:val="55071002"/>
    <w:rsid w:val="553B4059"/>
    <w:rsid w:val="556E142D"/>
    <w:rsid w:val="55810052"/>
    <w:rsid w:val="561042C2"/>
    <w:rsid w:val="561940D3"/>
    <w:rsid w:val="56764F1B"/>
    <w:rsid w:val="56DB6A9A"/>
    <w:rsid w:val="571213DD"/>
    <w:rsid w:val="574C2974"/>
    <w:rsid w:val="57694EBC"/>
    <w:rsid w:val="57E87E05"/>
    <w:rsid w:val="587958E2"/>
    <w:rsid w:val="5894587B"/>
    <w:rsid w:val="591E3685"/>
    <w:rsid w:val="592D43E2"/>
    <w:rsid w:val="59C069AB"/>
    <w:rsid w:val="5A023F5B"/>
    <w:rsid w:val="5A824471"/>
    <w:rsid w:val="5A84638B"/>
    <w:rsid w:val="5A9854F0"/>
    <w:rsid w:val="5AAF5F86"/>
    <w:rsid w:val="5ABB779F"/>
    <w:rsid w:val="5B921830"/>
    <w:rsid w:val="5BAB3F7B"/>
    <w:rsid w:val="5BB71EE1"/>
    <w:rsid w:val="5BD74912"/>
    <w:rsid w:val="5C1A1908"/>
    <w:rsid w:val="5C257BBA"/>
    <w:rsid w:val="5C486D1D"/>
    <w:rsid w:val="5CD37126"/>
    <w:rsid w:val="5CF72BCB"/>
    <w:rsid w:val="5D95450D"/>
    <w:rsid w:val="5D9A620A"/>
    <w:rsid w:val="5E22595E"/>
    <w:rsid w:val="5E2B3540"/>
    <w:rsid w:val="5E3157C3"/>
    <w:rsid w:val="5EB66CD6"/>
    <w:rsid w:val="5EC56014"/>
    <w:rsid w:val="5EE7552B"/>
    <w:rsid w:val="5F157018"/>
    <w:rsid w:val="5F1963C3"/>
    <w:rsid w:val="5F1E05CB"/>
    <w:rsid w:val="5F575C74"/>
    <w:rsid w:val="5FFF6783"/>
    <w:rsid w:val="600B1C51"/>
    <w:rsid w:val="6021059B"/>
    <w:rsid w:val="6034095E"/>
    <w:rsid w:val="604E503F"/>
    <w:rsid w:val="61A027D8"/>
    <w:rsid w:val="622F60C9"/>
    <w:rsid w:val="6254257F"/>
    <w:rsid w:val="626B5F81"/>
    <w:rsid w:val="62735270"/>
    <w:rsid w:val="628361A4"/>
    <w:rsid w:val="62D42408"/>
    <w:rsid w:val="630C1A3C"/>
    <w:rsid w:val="63387EFF"/>
    <w:rsid w:val="633D0156"/>
    <w:rsid w:val="635D38B7"/>
    <w:rsid w:val="6386160F"/>
    <w:rsid w:val="639B3B17"/>
    <w:rsid w:val="643D57D6"/>
    <w:rsid w:val="64626F17"/>
    <w:rsid w:val="649A3E3D"/>
    <w:rsid w:val="64B71196"/>
    <w:rsid w:val="64D90390"/>
    <w:rsid w:val="64F275E8"/>
    <w:rsid w:val="65034180"/>
    <w:rsid w:val="650A7D8F"/>
    <w:rsid w:val="65243980"/>
    <w:rsid w:val="656C4363"/>
    <w:rsid w:val="65B30007"/>
    <w:rsid w:val="65C86C0B"/>
    <w:rsid w:val="65F24153"/>
    <w:rsid w:val="665154CC"/>
    <w:rsid w:val="66997A75"/>
    <w:rsid w:val="685359C8"/>
    <w:rsid w:val="68EB2F48"/>
    <w:rsid w:val="691B4FFD"/>
    <w:rsid w:val="694F5FB8"/>
    <w:rsid w:val="699134BB"/>
    <w:rsid w:val="69DD2BAF"/>
    <w:rsid w:val="6AAF55E4"/>
    <w:rsid w:val="6AE42577"/>
    <w:rsid w:val="6AEE7B8B"/>
    <w:rsid w:val="6B010C8E"/>
    <w:rsid w:val="6B0727C7"/>
    <w:rsid w:val="6B0C5313"/>
    <w:rsid w:val="6B4E29DA"/>
    <w:rsid w:val="6BDA69E6"/>
    <w:rsid w:val="6C3224F4"/>
    <w:rsid w:val="6D2A1577"/>
    <w:rsid w:val="6D63762E"/>
    <w:rsid w:val="6D7652D1"/>
    <w:rsid w:val="6DB86F85"/>
    <w:rsid w:val="6DE27207"/>
    <w:rsid w:val="6E1C2BFE"/>
    <w:rsid w:val="6E331C39"/>
    <w:rsid w:val="6E3F6D7A"/>
    <w:rsid w:val="6EEF38F3"/>
    <w:rsid w:val="6F4B4978"/>
    <w:rsid w:val="702F2952"/>
    <w:rsid w:val="71DF48BE"/>
    <w:rsid w:val="72207955"/>
    <w:rsid w:val="72512A84"/>
    <w:rsid w:val="72656FFF"/>
    <w:rsid w:val="72887912"/>
    <w:rsid w:val="729A324A"/>
    <w:rsid w:val="72E63532"/>
    <w:rsid w:val="72E74F79"/>
    <w:rsid w:val="734C56DE"/>
    <w:rsid w:val="73CD66EA"/>
    <w:rsid w:val="73DB5FDF"/>
    <w:rsid w:val="742D7D24"/>
    <w:rsid w:val="74E71A43"/>
    <w:rsid w:val="7504596C"/>
    <w:rsid w:val="752A248E"/>
    <w:rsid w:val="75367E0D"/>
    <w:rsid w:val="75567A58"/>
    <w:rsid w:val="758B45B0"/>
    <w:rsid w:val="75A44181"/>
    <w:rsid w:val="75F6100E"/>
    <w:rsid w:val="76021639"/>
    <w:rsid w:val="76A279ED"/>
    <w:rsid w:val="76A30752"/>
    <w:rsid w:val="76B63926"/>
    <w:rsid w:val="76CE5AB1"/>
    <w:rsid w:val="76DA4D60"/>
    <w:rsid w:val="76FE4235"/>
    <w:rsid w:val="777F0AD1"/>
    <w:rsid w:val="77860DE9"/>
    <w:rsid w:val="77AE234D"/>
    <w:rsid w:val="780B1CCA"/>
    <w:rsid w:val="789A7C29"/>
    <w:rsid w:val="78EB4739"/>
    <w:rsid w:val="791516EA"/>
    <w:rsid w:val="7976020A"/>
    <w:rsid w:val="79A80D9E"/>
    <w:rsid w:val="7A9B5629"/>
    <w:rsid w:val="7A9C21B3"/>
    <w:rsid w:val="7AB22C28"/>
    <w:rsid w:val="7B1E3F4A"/>
    <w:rsid w:val="7B89044B"/>
    <w:rsid w:val="7BC33F05"/>
    <w:rsid w:val="7BE5375E"/>
    <w:rsid w:val="7C586003"/>
    <w:rsid w:val="7C8D3D65"/>
    <w:rsid w:val="7CB01BFB"/>
    <w:rsid w:val="7CCE6AF3"/>
    <w:rsid w:val="7CED0037"/>
    <w:rsid w:val="7CF40B47"/>
    <w:rsid w:val="7D312FF0"/>
    <w:rsid w:val="7D3D633F"/>
    <w:rsid w:val="7DA94374"/>
    <w:rsid w:val="7DE2313E"/>
    <w:rsid w:val="7DF81140"/>
    <w:rsid w:val="7E08226D"/>
    <w:rsid w:val="7E1D3B4C"/>
    <w:rsid w:val="7E5118CE"/>
    <w:rsid w:val="7E5E2D7B"/>
    <w:rsid w:val="7E9157A0"/>
    <w:rsid w:val="7EE85263"/>
    <w:rsid w:val="7F666817"/>
    <w:rsid w:val="7FB25D1C"/>
    <w:rsid w:val="7FC2363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49"/>
    <w:qFormat/>
    <w:uiPriority w:val="99"/>
    <w:pPr>
      <w:keepNext/>
      <w:keepLines/>
      <w:spacing w:before="340" w:after="330" w:line="480" w:lineRule="auto"/>
      <w:outlineLvl w:val="0"/>
    </w:pPr>
    <w:rPr>
      <w:rFonts w:eastAsia="黑体"/>
      <w:kern w:val="44"/>
    </w:rPr>
  </w:style>
  <w:style w:type="paragraph" w:styleId="4">
    <w:name w:val="heading 2"/>
    <w:basedOn w:val="1"/>
    <w:next w:val="1"/>
    <w:link w:val="50"/>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link w:val="51"/>
    <w:qFormat/>
    <w:uiPriority w:val="99"/>
    <w:pPr>
      <w:keepNext/>
      <w:keepLines/>
      <w:spacing w:before="260" w:after="260" w:line="416" w:lineRule="auto"/>
      <w:outlineLvl w:val="2"/>
    </w:pPr>
    <w:rPr>
      <w:b/>
      <w:bCs/>
      <w:sz w:val="32"/>
      <w:szCs w:val="32"/>
    </w:rPr>
  </w:style>
  <w:style w:type="paragraph" w:styleId="6">
    <w:name w:val="heading 4"/>
    <w:basedOn w:val="1"/>
    <w:next w:val="1"/>
    <w:link w:val="52"/>
    <w:qFormat/>
    <w:uiPriority w:val="99"/>
    <w:pPr>
      <w:widowControl/>
      <w:spacing w:before="200" w:line="276" w:lineRule="auto"/>
      <w:jc w:val="left"/>
      <w:outlineLvl w:val="3"/>
    </w:pPr>
    <w:rPr>
      <w:rFonts w:ascii="Cambria" w:hAnsi="Cambria" w:cs="Cambria"/>
      <w:b/>
      <w:bCs/>
      <w:i/>
      <w:iCs/>
      <w:kern w:val="0"/>
      <w:sz w:val="22"/>
      <w:szCs w:val="22"/>
    </w:rPr>
  </w:style>
  <w:style w:type="paragraph" w:styleId="7">
    <w:name w:val="heading 5"/>
    <w:basedOn w:val="1"/>
    <w:next w:val="1"/>
    <w:link w:val="53"/>
    <w:qFormat/>
    <w:uiPriority w:val="99"/>
    <w:pPr>
      <w:widowControl/>
      <w:spacing w:before="200" w:line="276" w:lineRule="auto"/>
      <w:jc w:val="left"/>
      <w:outlineLvl w:val="4"/>
    </w:pPr>
    <w:rPr>
      <w:rFonts w:ascii="Cambria" w:hAnsi="Cambria" w:cs="Cambria"/>
      <w:b/>
      <w:bCs/>
      <w:color w:val="7F7F7F"/>
      <w:kern w:val="0"/>
      <w:sz w:val="22"/>
      <w:szCs w:val="22"/>
    </w:rPr>
  </w:style>
  <w:style w:type="paragraph" w:styleId="8">
    <w:name w:val="heading 6"/>
    <w:basedOn w:val="1"/>
    <w:next w:val="1"/>
    <w:link w:val="54"/>
    <w:qFormat/>
    <w:uiPriority w:val="99"/>
    <w:pPr>
      <w:widowControl/>
      <w:spacing w:line="271" w:lineRule="auto"/>
      <w:jc w:val="left"/>
      <w:outlineLvl w:val="5"/>
    </w:pPr>
    <w:rPr>
      <w:rFonts w:ascii="Cambria" w:hAnsi="Cambria" w:cs="Cambria"/>
      <w:b/>
      <w:bCs/>
      <w:i/>
      <w:iCs/>
      <w:color w:val="7F7F7F"/>
      <w:kern w:val="0"/>
      <w:sz w:val="22"/>
      <w:szCs w:val="22"/>
    </w:rPr>
  </w:style>
  <w:style w:type="paragraph" w:styleId="9">
    <w:name w:val="heading 7"/>
    <w:basedOn w:val="1"/>
    <w:next w:val="1"/>
    <w:link w:val="55"/>
    <w:qFormat/>
    <w:uiPriority w:val="99"/>
    <w:pPr>
      <w:widowControl/>
      <w:spacing w:line="276" w:lineRule="auto"/>
      <w:jc w:val="left"/>
      <w:outlineLvl w:val="6"/>
    </w:pPr>
    <w:rPr>
      <w:rFonts w:ascii="Cambria" w:hAnsi="Cambria" w:cs="Cambria"/>
      <w:i/>
      <w:iCs/>
      <w:kern w:val="0"/>
      <w:sz w:val="22"/>
      <w:szCs w:val="22"/>
    </w:rPr>
  </w:style>
  <w:style w:type="paragraph" w:styleId="10">
    <w:name w:val="heading 8"/>
    <w:basedOn w:val="1"/>
    <w:next w:val="1"/>
    <w:link w:val="56"/>
    <w:qFormat/>
    <w:uiPriority w:val="99"/>
    <w:pPr>
      <w:widowControl/>
      <w:spacing w:line="276" w:lineRule="auto"/>
      <w:jc w:val="left"/>
      <w:outlineLvl w:val="7"/>
    </w:pPr>
    <w:rPr>
      <w:rFonts w:ascii="Cambria" w:hAnsi="Cambria" w:cs="Cambria"/>
      <w:kern w:val="0"/>
      <w:sz w:val="20"/>
      <w:szCs w:val="20"/>
    </w:rPr>
  </w:style>
  <w:style w:type="paragraph" w:styleId="11">
    <w:name w:val="heading 9"/>
    <w:basedOn w:val="1"/>
    <w:next w:val="1"/>
    <w:link w:val="57"/>
    <w:qFormat/>
    <w:uiPriority w:val="99"/>
    <w:pPr>
      <w:widowControl/>
      <w:spacing w:line="276" w:lineRule="auto"/>
      <w:jc w:val="left"/>
      <w:outlineLvl w:val="8"/>
    </w:pPr>
    <w:rPr>
      <w:rFonts w:ascii="Cambria" w:hAnsi="Cambria" w:cs="Cambria"/>
      <w:i/>
      <w:iCs/>
      <w:spacing w:val="5"/>
      <w:kern w:val="0"/>
      <w:sz w:val="20"/>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9"/>
    <w:qFormat/>
    <w:uiPriority w:val="99"/>
    <w:pPr>
      <w:tabs>
        <w:tab w:val="center" w:pos="4153"/>
        <w:tab w:val="right" w:pos="8306"/>
      </w:tabs>
      <w:snapToGrid w:val="0"/>
      <w:jc w:val="left"/>
    </w:pPr>
    <w:rPr>
      <w:sz w:val="18"/>
      <w:szCs w:val="18"/>
    </w:rPr>
  </w:style>
  <w:style w:type="paragraph" w:styleId="12">
    <w:name w:val="toc 7"/>
    <w:basedOn w:val="1"/>
    <w:next w:val="1"/>
    <w:semiHidden/>
    <w:qFormat/>
    <w:uiPriority w:val="99"/>
    <w:pPr>
      <w:widowControl/>
      <w:spacing w:after="200" w:line="276" w:lineRule="auto"/>
      <w:ind w:left="1260"/>
      <w:jc w:val="left"/>
    </w:pPr>
    <w:rPr>
      <w:rFonts w:ascii="Calibri" w:hAnsi="Calibri" w:cs="Calibri"/>
      <w:kern w:val="0"/>
      <w:sz w:val="18"/>
      <w:szCs w:val="18"/>
    </w:rPr>
  </w:style>
  <w:style w:type="paragraph" w:styleId="13">
    <w:name w:val="Normal Indent"/>
    <w:basedOn w:val="1"/>
    <w:link w:val="141"/>
    <w:qFormat/>
    <w:uiPriority w:val="99"/>
    <w:pPr>
      <w:adjustRightInd w:val="0"/>
      <w:spacing w:line="312" w:lineRule="atLeast"/>
      <w:ind w:firstLine="420"/>
      <w:textAlignment w:val="baseline"/>
    </w:pPr>
    <w:rPr>
      <w:kern w:val="0"/>
      <w:sz w:val="20"/>
      <w:szCs w:val="20"/>
    </w:rPr>
  </w:style>
  <w:style w:type="paragraph" w:styleId="14">
    <w:name w:val="caption"/>
    <w:basedOn w:val="1"/>
    <w:next w:val="1"/>
    <w:link w:val="81"/>
    <w:qFormat/>
    <w:uiPriority w:val="99"/>
    <w:pPr>
      <w:ind w:firstLine="200" w:firstLineChars="200"/>
    </w:pPr>
    <w:rPr>
      <w:rFonts w:ascii="Cambria" w:hAnsi="Cambria" w:eastAsia="黑体" w:cs="Cambria"/>
      <w:sz w:val="20"/>
      <w:szCs w:val="20"/>
    </w:rPr>
  </w:style>
  <w:style w:type="paragraph" w:styleId="15">
    <w:name w:val="Document Map"/>
    <w:basedOn w:val="1"/>
    <w:link w:val="63"/>
    <w:semiHidden/>
    <w:qFormat/>
    <w:uiPriority w:val="99"/>
    <w:pPr>
      <w:widowControl/>
      <w:spacing w:after="200" w:line="276" w:lineRule="auto"/>
      <w:jc w:val="left"/>
    </w:pPr>
    <w:rPr>
      <w:rFonts w:ascii="宋体" w:hAnsi="Calibri" w:cs="宋体"/>
      <w:kern w:val="0"/>
      <w:sz w:val="18"/>
      <w:szCs w:val="18"/>
    </w:rPr>
  </w:style>
  <w:style w:type="paragraph" w:styleId="16">
    <w:name w:val="annotation text"/>
    <w:basedOn w:val="1"/>
    <w:link w:val="61"/>
    <w:semiHidden/>
    <w:qFormat/>
    <w:uiPriority w:val="99"/>
    <w:pPr>
      <w:ind w:firstLine="200" w:firstLineChars="200"/>
      <w:jc w:val="left"/>
    </w:pPr>
    <w:rPr>
      <w:sz w:val="28"/>
      <w:szCs w:val="28"/>
    </w:rPr>
  </w:style>
  <w:style w:type="paragraph" w:styleId="17">
    <w:name w:val="Body Text"/>
    <w:basedOn w:val="1"/>
    <w:link w:val="64"/>
    <w:qFormat/>
    <w:uiPriority w:val="99"/>
    <w:pPr>
      <w:spacing w:after="120"/>
      <w:ind w:firstLine="200" w:firstLineChars="200"/>
    </w:pPr>
    <w:rPr>
      <w:sz w:val="28"/>
      <w:szCs w:val="28"/>
    </w:rPr>
  </w:style>
  <w:style w:type="paragraph" w:styleId="18">
    <w:name w:val="Body Text Indent"/>
    <w:basedOn w:val="1"/>
    <w:link w:val="65"/>
    <w:qFormat/>
    <w:uiPriority w:val="99"/>
    <w:pPr>
      <w:widowControl/>
      <w:spacing w:after="200" w:line="276" w:lineRule="auto"/>
      <w:ind w:firstLine="705"/>
      <w:jc w:val="left"/>
    </w:pPr>
    <w:rPr>
      <w:rFonts w:ascii="Calibri" w:hAnsi="Calibri" w:cs="Calibri"/>
      <w:kern w:val="0"/>
      <w:sz w:val="28"/>
      <w:szCs w:val="28"/>
      <w:lang w:val="en-GB"/>
    </w:rPr>
  </w:style>
  <w:style w:type="paragraph" w:styleId="19">
    <w:name w:val="toc 5"/>
    <w:basedOn w:val="1"/>
    <w:next w:val="1"/>
    <w:semiHidden/>
    <w:qFormat/>
    <w:uiPriority w:val="99"/>
    <w:pPr>
      <w:widowControl/>
      <w:spacing w:after="200" w:line="276" w:lineRule="auto"/>
      <w:ind w:left="840"/>
      <w:jc w:val="left"/>
    </w:pPr>
    <w:rPr>
      <w:rFonts w:ascii="Calibri" w:hAnsi="Calibri" w:cs="Calibri"/>
      <w:kern w:val="0"/>
      <w:sz w:val="18"/>
      <w:szCs w:val="18"/>
    </w:rPr>
  </w:style>
  <w:style w:type="paragraph" w:styleId="20">
    <w:name w:val="toc 3"/>
    <w:basedOn w:val="1"/>
    <w:next w:val="1"/>
    <w:semiHidden/>
    <w:qFormat/>
    <w:uiPriority w:val="99"/>
    <w:pPr>
      <w:widowControl/>
      <w:spacing w:after="200" w:line="276" w:lineRule="auto"/>
      <w:ind w:left="420"/>
      <w:jc w:val="left"/>
    </w:pPr>
    <w:rPr>
      <w:rFonts w:ascii="Calibri" w:hAnsi="Calibri" w:cs="Calibri"/>
      <w:i/>
      <w:iCs/>
      <w:kern w:val="0"/>
      <w:sz w:val="20"/>
      <w:szCs w:val="20"/>
    </w:rPr>
  </w:style>
  <w:style w:type="paragraph" w:styleId="21">
    <w:name w:val="toc 8"/>
    <w:basedOn w:val="1"/>
    <w:next w:val="1"/>
    <w:semiHidden/>
    <w:qFormat/>
    <w:uiPriority w:val="99"/>
    <w:pPr>
      <w:widowControl/>
      <w:spacing w:after="200" w:line="276" w:lineRule="auto"/>
      <w:ind w:left="1470"/>
      <w:jc w:val="left"/>
    </w:pPr>
    <w:rPr>
      <w:rFonts w:ascii="Calibri" w:hAnsi="Calibri" w:cs="Calibri"/>
      <w:kern w:val="0"/>
      <w:sz w:val="18"/>
      <w:szCs w:val="18"/>
    </w:rPr>
  </w:style>
  <w:style w:type="paragraph" w:styleId="22">
    <w:name w:val="Date"/>
    <w:basedOn w:val="1"/>
    <w:next w:val="1"/>
    <w:link w:val="66"/>
    <w:qFormat/>
    <w:uiPriority w:val="99"/>
    <w:pPr>
      <w:widowControl/>
      <w:spacing w:after="200" w:line="276" w:lineRule="auto"/>
      <w:jc w:val="left"/>
    </w:pPr>
    <w:rPr>
      <w:rFonts w:ascii="Calibri" w:hAnsi="Calibri" w:cs="Calibri"/>
      <w:kern w:val="0"/>
      <w:sz w:val="28"/>
      <w:szCs w:val="28"/>
    </w:rPr>
  </w:style>
  <w:style w:type="paragraph" w:styleId="23">
    <w:name w:val="Body Text Indent 2"/>
    <w:basedOn w:val="1"/>
    <w:link w:val="67"/>
    <w:qFormat/>
    <w:uiPriority w:val="99"/>
    <w:pPr>
      <w:spacing w:after="120" w:line="480" w:lineRule="auto"/>
      <w:ind w:left="420" w:leftChars="200" w:firstLine="200" w:firstLineChars="200"/>
    </w:pPr>
    <w:rPr>
      <w:sz w:val="28"/>
      <w:szCs w:val="28"/>
    </w:rPr>
  </w:style>
  <w:style w:type="paragraph" w:styleId="24">
    <w:name w:val="Balloon Text"/>
    <w:basedOn w:val="1"/>
    <w:link w:val="68"/>
    <w:semiHidden/>
    <w:qFormat/>
    <w:uiPriority w:val="99"/>
    <w:pPr>
      <w:ind w:firstLine="200" w:firstLineChars="200"/>
    </w:pPr>
    <w:rPr>
      <w:sz w:val="18"/>
      <w:szCs w:val="18"/>
    </w:rPr>
  </w:style>
  <w:style w:type="paragraph" w:styleId="25">
    <w:name w:val="header"/>
    <w:basedOn w:val="1"/>
    <w:link w:val="58"/>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99"/>
    <w:pPr>
      <w:widowControl/>
      <w:spacing w:beforeLines="50" w:afterLines="50" w:line="360" w:lineRule="auto"/>
      <w:jc w:val="left"/>
    </w:pPr>
    <w:rPr>
      <w:rFonts w:eastAsia="黑体"/>
      <w:caps/>
      <w:kern w:val="0"/>
    </w:rPr>
  </w:style>
  <w:style w:type="paragraph" w:styleId="27">
    <w:name w:val="toc 4"/>
    <w:basedOn w:val="1"/>
    <w:next w:val="1"/>
    <w:semiHidden/>
    <w:qFormat/>
    <w:uiPriority w:val="99"/>
    <w:pPr>
      <w:widowControl/>
      <w:spacing w:after="200" w:line="276" w:lineRule="auto"/>
      <w:ind w:left="630"/>
      <w:jc w:val="left"/>
    </w:pPr>
    <w:rPr>
      <w:rFonts w:ascii="Calibri" w:hAnsi="Calibri" w:cs="Calibri"/>
      <w:kern w:val="0"/>
      <w:sz w:val="18"/>
      <w:szCs w:val="18"/>
    </w:rPr>
  </w:style>
  <w:style w:type="paragraph" w:styleId="28">
    <w:name w:val="Subtitle"/>
    <w:basedOn w:val="1"/>
    <w:next w:val="1"/>
    <w:link w:val="69"/>
    <w:qFormat/>
    <w:uiPriority w:val="99"/>
    <w:pPr>
      <w:widowControl/>
      <w:spacing w:after="600" w:line="276" w:lineRule="auto"/>
      <w:jc w:val="left"/>
    </w:pPr>
    <w:rPr>
      <w:rFonts w:ascii="Cambria" w:hAnsi="Cambria" w:cs="Cambria"/>
      <w:i/>
      <w:iCs/>
      <w:spacing w:val="13"/>
      <w:kern w:val="0"/>
      <w:sz w:val="24"/>
      <w:szCs w:val="24"/>
    </w:rPr>
  </w:style>
  <w:style w:type="paragraph" w:styleId="29">
    <w:name w:val="footnote text"/>
    <w:basedOn w:val="1"/>
    <w:link w:val="70"/>
    <w:qFormat/>
    <w:uiPriority w:val="99"/>
    <w:pPr>
      <w:widowControl/>
      <w:jc w:val="left"/>
    </w:pPr>
    <w:rPr>
      <w:rFonts w:ascii="Calibri" w:hAnsi="Calibri" w:cs="Calibri"/>
      <w:kern w:val="0"/>
      <w:sz w:val="20"/>
      <w:szCs w:val="20"/>
    </w:rPr>
  </w:style>
  <w:style w:type="paragraph" w:styleId="30">
    <w:name w:val="toc 6"/>
    <w:basedOn w:val="1"/>
    <w:next w:val="1"/>
    <w:semiHidden/>
    <w:qFormat/>
    <w:uiPriority w:val="99"/>
    <w:pPr>
      <w:widowControl/>
      <w:spacing w:after="200" w:line="276" w:lineRule="auto"/>
      <w:ind w:left="1050"/>
      <w:jc w:val="left"/>
    </w:pPr>
    <w:rPr>
      <w:rFonts w:ascii="Calibri" w:hAnsi="Calibri" w:cs="Calibri"/>
      <w:kern w:val="0"/>
      <w:sz w:val="18"/>
      <w:szCs w:val="18"/>
    </w:rPr>
  </w:style>
  <w:style w:type="paragraph" w:styleId="31">
    <w:name w:val="Body Text Indent 3"/>
    <w:basedOn w:val="1"/>
    <w:link w:val="71"/>
    <w:qFormat/>
    <w:uiPriority w:val="99"/>
    <w:pPr>
      <w:widowControl/>
      <w:spacing w:after="200" w:line="560" w:lineRule="exact"/>
      <w:ind w:firstLine="560" w:firstLineChars="200"/>
      <w:jc w:val="left"/>
    </w:pPr>
    <w:rPr>
      <w:rFonts w:ascii="仿宋_GB2312" w:hAnsi="Calibri" w:cs="仿宋_GB2312"/>
      <w:kern w:val="0"/>
      <w:sz w:val="28"/>
      <w:szCs w:val="28"/>
    </w:rPr>
  </w:style>
  <w:style w:type="paragraph" w:styleId="32">
    <w:name w:val="toc 2"/>
    <w:basedOn w:val="1"/>
    <w:next w:val="1"/>
    <w:link w:val="152"/>
    <w:semiHidden/>
    <w:qFormat/>
    <w:uiPriority w:val="99"/>
    <w:pPr>
      <w:widowControl/>
      <w:spacing w:after="200" w:line="276" w:lineRule="auto"/>
      <w:ind w:left="210"/>
      <w:jc w:val="left"/>
    </w:pPr>
    <w:rPr>
      <w:rFonts w:ascii="Calibri" w:hAnsi="Calibri" w:eastAsia="黑体" w:cs="Calibri"/>
      <w:smallCaps/>
      <w:kern w:val="0"/>
    </w:rPr>
  </w:style>
  <w:style w:type="paragraph" w:styleId="33">
    <w:name w:val="toc 9"/>
    <w:basedOn w:val="1"/>
    <w:next w:val="1"/>
    <w:semiHidden/>
    <w:qFormat/>
    <w:uiPriority w:val="99"/>
    <w:pPr>
      <w:widowControl/>
      <w:spacing w:after="200" w:line="276" w:lineRule="auto"/>
      <w:ind w:left="1680"/>
      <w:jc w:val="left"/>
    </w:pPr>
    <w:rPr>
      <w:rFonts w:ascii="Calibri" w:hAnsi="Calibri" w:cs="Calibri"/>
      <w:kern w:val="0"/>
      <w:sz w:val="18"/>
      <w:szCs w:val="18"/>
    </w:rPr>
  </w:style>
  <w:style w:type="paragraph" w:styleId="34">
    <w:name w:val="Body Text 2"/>
    <w:basedOn w:val="1"/>
    <w:link w:val="72"/>
    <w:qFormat/>
    <w:uiPriority w:val="99"/>
    <w:pPr>
      <w:widowControl/>
      <w:spacing w:after="200" w:line="276" w:lineRule="auto"/>
      <w:jc w:val="left"/>
    </w:pPr>
    <w:rPr>
      <w:rFonts w:ascii="宋体" w:hAnsi="宋体" w:cs="宋体"/>
      <w:kern w:val="0"/>
      <w:sz w:val="28"/>
      <w:szCs w:val="28"/>
    </w:rPr>
  </w:style>
  <w:style w:type="paragraph" w:styleId="35">
    <w:name w:val="Normal (Web)"/>
    <w:basedOn w:val="1"/>
    <w:link w:val="145"/>
    <w:qFormat/>
    <w:uiPriority w:val="99"/>
    <w:pPr>
      <w:spacing w:before="100" w:beforeAutospacing="1" w:after="100" w:afterAutospacing="1"/>
      <w:jc w:val="left"/>
    </w:pPr>
    <w:rPr>
      <w:kern w:val="0"/>
      <w:sz w:val="24"/>
      <w:szCs w:val="24"/>
    </w:rPr>
  </w:style>
  <w:style w:type="paragraph" w:styleId="36">
    <w:name w:val="Title"/>
    <w:basedOn w:val="1"/>
    <w:next w:val="1"/>
    <w:link w:val="60"/>
    <w:qFormat/>
    <w:uiPriority w:val="99"/>
    <w:pPr>
      <w:spacing w:before="240" w:after="60"/>
      <w:ind w:firstLine="200" w:firstLineChars="200"/>
      <w:jc w:val="center"/>
      <w:outlineLvl w:val="0"/>
    </w:pPr>
    <w:rPr>
      <w:rFonts w:ascii="Cambria" w:hAnsi="Cambria" w:cs="Cambria"/>
      <w:b/>
      <w:bCs/>
      <w:sz w:val="32"/>
      <w:szCs w:val="32"/>
    </w:rPr>
  </w:style>
  <w:style w:type="paragraph" w:styleId="37">
    <w:name w:val="annotation subject"/>
    <w:basedOn w:val="16"/>
    <w:next w:val="16"/>
    <w:link w:val="62"/>
    <w:semiHidden/>
    <w:qFormat/>
    <w:uiPriority w:val="99"/>
    <w:rPr>
      <w:b/>
      <w:bCs/>
    </w:rPr>
  </w:style>
  <w:style w:type="paragraph" w:styleId="38">
    <w:name w:val="Body Text First Indent"/>
    <w:basedOn w:val="1"/>
    <w:qFormat/>
    <w:locked/>
    <w:uiPriority w:val="99"/>
    <w:pPr>
      <w:ind w:firstLine="420" w:firstLineChars="100"/>
    </w:pPr>
  </w:style>
  <w:style w:type="table" w:styleId="40">
    <w:name w:val="Table Grid"/>
    <w:basedOn w:val="39"/>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99"/>
    <w:rPr>
      <w:b/>
      <w:bCs/>
    </w:rPr>
  </w:style>
  <w:style w:type="character" w:styleId="43">
    <w:name w:val="page number"/>
    <w:basedOn w:val="41"/>
    <w:qFormat/>
    <w:uiPriority w:val="99"/>
  </w:style>
  <w:style w:type="character" w:styleId="44">
    <w:name w:val="FollowedHyperlink"/>
    <w:qFormat/>
    <w:uiPriority w:val="99"/>
    <w:rPr>
      <w:color w:val="800080"/>
      <w:u w:val="single"/>
    </w:rPr>
  </w:style>
  <w:style w:type="character" w:styleId="45">
    <w:name w:val="Emphasis"/>
    <w:qFormat/>
    <w:uiPriority w:val="99"/>
    <w:rPr>
      <w:b/>
      <w:bCs/>
      <w:i/>
      <w:iCs/>
      <w:spacing w:val="10"/>
      <w:shd w:val="clear" w:color="auto" w:fill="auto"/>
    </w:rPr>
  </w:style>
  <w:style w:type="character" w:styleId="46">
    <w:name w:val="Hyperlink"/>
    <w:qFormat/>
    <w:uiPriority w:val="99"/>
    <w:rPr>
      <w:color w:val="0000FF"/>
      <w:u w:val="single"/>
    </w:rPr>
  </w:style>
  <w:style w:type="character" w:styleId="47">
    <w:name w:val="annotation reference"/>
    <w:semiHidden/>
    <w:qFormat/>
    <w:uiPriority w:val="99"/>
    <w:rPr>
      <w:sz w:val="21"/>
      <w:szCs w:val="21"/>
    </w:rPr>
  </w:style>
  <w:style w:type="paragraph" w:customStyle="1" w:styleId="48">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9">
    <w:name w:val="标题 1 Char"/>
    <w:link w:val="3"/>
    <w:qFormat/>
    <w:locked/>
    <w:uiPriority w:val="99"/>
    <w:rPr>
      <w:rFonts w:ascii="Cambria" w:hAnsi="Cambria" w:eastAsia="黑体" w:cs="Cambria"/>
      <w:kern w:val="44"/>
      <w:sz w:val="44"/>
      <w:szCs w:val="44"/>
    </w:rPr>
  </w:style>
  <w:style w:type="character" w:customStyle="1" w:styleId="50">
    <w:name w:val="标题 2 Char"/>
    <w:link w:val="4"/>
    <w:qFormat/>
    <w:locked/>
    <w:uiPriority w:val="99"/>
    <w:rPr>
      <w:rFonts w:ascii="Arial" w:hAnsi="Arial" w:eastAsia="黑体" w:cs="Arial"/>
      <w:b/>
      <w:bCs/>
      <w:sz w:val="32"/>
      <w:szCs w:val="32"/>
    </w:rPr>
  </w:style>
  <w:style w:type="character" w:customStyle="1" w:styleId="51">
    <w:name w:val="标题 3 Char"/>
    <w:link w:val="5"/>
    <w:qFormat/>
    <w:locked/>
    <w:uiPriority w:val="99"/>
    <w:rPr>
      <w:rFonts w:ascii="Times New Roman" w:hAnsi="Times New Roman" w:eastAsia="宋体" w:cs="Times New Roman"/>
      <w:b/>
      <w:bCs/>
      <w:sz w:val="32"/>
      <w:szCs w:val="32"/>
    </w:rPr>
  </w:style>
  <w:style w:type="character" w:customStyle="1" w:styleId="52">
    <w:name w:val="标题 4 Char"/>
    <w:link w:val="6"/>
    <w:qFormat/>
    <w:locked/>
    <w:uiPriority w:val="99"/>
    <w:rPr>
      <w:rFonts w:ascii="Cambria" w:hAnsi="Cambria" w:eastAsia="宋体" w:cs="Cambria"/>
      <w:b/>
      <w:bCs/>
      <w:i/>
      <w:iCs/>
      <w:kern w:val="0"/>
      <w:sz w:val="22"/>
      <w:szCs w:val="22"/>
    </w:rPr>
  </w:style>
  <w:style w:type="character" w:customStyle="1" w:styleId="53">
    <w:name w:val="标题 5 Char"/>
    <w:link w:val="7"/>
    <w:qFormat/>
    <w:locked/>
    <w:uiPriority w:val="99"/>
    <w:rPr>
      <w:rFonts w:ascii="Cambria" w:hAnsi="Cambria" w:eastAsia="宋体" w:cs="Cambria"/>
      <w:b/>
      <w:bCs/>
      <w:color w:val="7F7F7F"/>
      <w:kern w:val="0"/>
      <w:sz w:val="22"/>
      <w:szCs w:val="22"/>
    </w:rPr>
  </w:style>
  <w:style w:type="character" w:customStyle="1" w:styleId="54">
    <w:name w:val="标题 6 Char"/>
    <w:link w:val="8"/>
    <w:qFormat/>
    <w:locked/>
    <w:uiPriority w:val="99"/>
    <w:rPr>
      <w:rFonts w:ascii="Cambria" w:hAnsi="Cambria" w:eastAsia="宋体" w:cs="Cambria"/>
      <w:b/>
      <w:bCs/>
      <w:i/>
      <w:iCs/>
      <w:color w:val="7F7F7F"/>
      <w:kern w:val="0"/>
      <w:sz w:val="22"/>
      <w:szCs w:val="22"/>
    </w:rPr>
  </w:style>
  <w:style w:type="character" w:customStyle="1" w:styleId="55">
    <w:name w:val="标题 7 Char"/>
    <w:link w:val="9"/>
    <w:qFormat/>
    <w:locked/>
    <w:uiPriority w:val="99"/>
    <w:rPr>
      <w:rFonts w:ascii="Cambria" w:hAnsi="Cambria" w:eastAsia="宋体" w:cs="Cambria"/>
      <w:i/>
      <w:iCs/>
      <w:kern w:val="0"/>
      <w:sz w:val="22"/>
      <w:szCs w:val="22"/>
    </w:rPr>
  </w:style>
  <w:style w:type="character" w:customStyle="1" w:styleId="56">
    <w:name w:val="标题 8 Char"/>
    <w:link w:val="10"/>
    <w:qFormat/>
    <w:locked/>
    <w:uiPriority w:val="99"/>
    <w:rPr>
      <w:rFonts w:ascii="Cambria" w:hAnsi="Cambria" w:eastAsia="宋体" w:cs="Cambria"/>
      <w:kern w:val="0"/>
      <w:sz w:val="20"/>
      <w:szCs w:val="20"/>
    </w:rPr>
  </w:style>
  <w:style w:type="character" w:customStyle="1" w:styleId="57">
    <w:name w:val="标题 9 Char"/>
    <w:link w:val="11"/>
    <w:qFormat/>
    <w:locked/>
    <w:uiPriority w:val="99"/>
    <w:rPr>
      <w:rFonts w:ascii="Cambria" w:hAnsi="Cambria" w:eastAsia="宋体" w:cs="Cambria"/>
      <w:i/>
      <w:iCs/>
      <w:spacing w:val="5"/>
      <w:kern w:val="0"/>
      <w:sz w:val="20"/>
      <w:szCs w:val="20"/>
    </w:rPr>
  </w:style>
  <w:style w:type="character" w:customStyle="1" w:styleId="58">
    <w:name w:val="页眉 Char"/>
    <w:link w:val="25"/>
    <w:qFormat/>
    <w:locked/>
    <w:uiPriority w:val="99"/>
    <w:rPr>
      <w:sz w:val="18"/>
      <w:szCs w:val="18"/>
    </w:rPr>
  </w:style>
  <w:style w:type="character" w:customStyle="1" w:styleId="59">
    <w:name w:val="页脚 Char"/>
    <w:link w:val="2"/>
    <w:qFormat/>
    <w:locked/>
    <w:uiPriority w:val="99"/>
    <w:rPr>
      <w:sz w:val="18"/>
      <w:szCs w:val="18"/>
    </w:rPr>
  </w:style>
  <w:style w:type="character" w:customStyle="1" w:styleId="60">
    <w:name w:val="标题 Char"/>
    <w:link w:val="36"/>
    <w:qFormat/>
    <w:locked/>
    <w:uiPriority w:val="99"/>
    <w:rPr>
      <w:rFonts w:ascii="Cambria" w:hAnsi="Cambria" w:eastAsia="宋体" w:cs="Cambria"/>
      <w:b/>
      <w:bCs/>
      <w:sz w:val="32"/>
      <w:szCs w:val="32"/>
    </w:rPr>
  </w:style>
  <w:style w:type="character" w:customStyle="1" w:styleId="61">
    <w:name w:val="批注文字 Char"/>
    <w:link w:val="16"/>
    <w:qFormat/>
    <w:locked/>
    <w:uiPriority w:val="99"/>
    <w:rPr>
      <w:rFonts w:ascii="Times New Roman" w:hAnsi="Times New Roman" w:eastAsia="宋体" w:cs="Times New Roman"/>
      <w:sz w:val="21"/>
      <w:szCs w:val="21"/>
    </w:rPr>
  </w:style>
  <w:style w:type="character" w:customStyle="1" w:styleId="62">
    <w:name w:val="批注主题 Char"/>
    <w:link w:val="37"/>
    <w:qFormat/>
    <w:locked/>
    <w:uiPriority w:val="99"/>
    <w:rPr>
      <w:rFonts w:ascii="Times New Roman" w:hAnsi="Times New Roman" w:eastAsia="宋体" w:cs="Times New Roman"/>
      <w:b/>
      <w:bCs/>
      <w:sz w:val="21"/>
      <w:szCs w:val="21"/>
    </w:rPr>
  </w:style>
  <w:style w:type="character" w:customStyle="1" w:styleId="63">
    <w:name w:val="文档结构图 Char"/>
    <w:link w:val="15"/>
    <w:qFormat/>
    <w:locked/>
    <w:uiPriority w:val="99"/>
    <w:rPr>
      <w:rFonts w:ascii="宋体" w:hAnsi="Calibri" w:eastAsia="宋体" w:cs="宋体"/>
      <w:kern w:val="0"/>
      <w:sz w:val="18"/>
      <w:szCs w:val="18"/>
    </w:rPr>
  </w:style>
  <w:style w:type="character" w:customStyle="1" w:styleId="64">
    <w:name w:val="正文文本 Char"/>
    <w:link w:val="17"/>
    <w:qFormat/>
    <w:locked/>
    <w:uiPriority w:val="99"/>
    <w:rPr>
      <w:rFonts w:ascii="Times New Roman" w:hAnsi="Times New Roman" w:eastAsia="宋体" w:cs="Times New Roman"/>
      <w:sz w:val="21"/>
      <w:szCs w:val="21"/>
    </w:rPr>
  </w:style>
  <w:style w:type="character" w:customStyle="1" w:styleId="65">
    <w:name w:val="正文文本缩进 Char"/>
    <w:link w:val="18"/>
    <w:qFormat/>
    <w:locked/>
    <w:uiPriority w:val="99"/>
    <w:rPr>
      <w:rFonts w:ascii="Calibri" w:hAnsi="Calibri" w:eastAsia="宋体" w:cs="Calibri"/>
      <w:kern w:val="0"/>
      <w:sz w:val="28"/>
      <w:szCs w:val="28"/>
      <w:lang w:val="en-GB"/>
    </w:rPr>
  </w:style>
  <w:style w:type="character" w:customStyle="1" w:styleId="66">
    <w:name w:val="日期 Char"/>
    <w:link w:val="22"/>
    <w:qFormat/>
    <w:locked/>
    <w:uiPriority w:val="99"/>
    <w:rPr>
      <w:rFonts w:ascii="Calibri" w:hAnsi="Calibri" w:eastAsia="宋体" w:cs="Calibri"/>
      <w:kern w:val="0"/>
      <w:sz w:val="28"/>
      <w:szCs w:val="28"/>
    </w:rPr>
  </w:style>
  <w:style w:type="character" w:customStyle="1" w:styleId="67">
    <w:name w:val="正文文本缩进 2 Char"/>
    <w:link w:val="23"/>
    <w:qFormat/>
    <w:locked/>
    <w:uiPriority w:val="99"/>
    <w:rPr>
      <w:rFonts w:ascii="Times New Roman" w:hAnsi="Times New Roman" w:eastAsia="宋体" w:cs="Times New Roman"/>
      <w:sz w:val="21"/>
      <w:szCs w:val="21"/>
    </w:rPr>
  </w:style>
  <w:style w:type="character" w:customStyle="1" w:styleId="68">
    <w:name w:val="批注框文本 Char"/>
    <w:link w:val="24"/>
    <w:qFormat/>
    <w:locked/>
    <w:uiPriority w:val="99"/>
    <w:rPr>
      <w:rFonts w:ascii="Times New Roman" w:hAnsi="Times New Roman" w:eastAsia="宋体" w:cs="Times New Roman"/>
      <w:sz w:val="18"/>
      <w:szCs w:val="18"/>
    </w:rPr>
  </w:style>
  <w:style w:type="character" w:customStyle="1" w:styleId="69">
    <w:name w:val="副标题 Char"/>
    <w:link w:val="28"/>
    <w:qFormat/>
    <w:locked/>
    <w:uiPriority w:val="99"/>
    <w:rPr>
      <w:rFonts w:ascii="Cambria" w:hAnsi="Cambria" w:eastAsia="宋体" w:cs="Cambria"/>
      <w:i/>
      <w:iCs/>
      <w:spacing w:val="13"/>
      <w:kern w:val="0"/>
      <w:sz w:val="24"/>
      <w:szCs w:val="24"/>
    </w:rPr>
  </w:style>
  <w:style w:type="character" w:customStyle="1" w:styleId="70">
    <w:name w:val="脚注文本 Char"/>
    <w:link w:val="29"/>
    <w:qFormat/>
    <w:locked/>
    <w:uiPriority w:val="99"/>
    <w:rPr>
      <w:kern w:val="0"/>
      <w:sz w:val="20"/>
      <w:szCs w:val="20"/>
    </w:rPr>
  </w:style>
  <w:style w:type="character" w:customStyle="1" w:styleId="71">
    <w:name w:val="正文文本缩进 3 Char"/>
    <w:link w:val="31"/>
    <w:qFormat/>
    <w:locked/>
    <w:uiPriority w:val="99"/>
    <w:rPr>
      <w:rFonts w:ascii="仿宋_GB2312" w:hAnsi="Calibri" w:eastAsia="宋体" w:cs="仿宋_GB2312"/>
      <w:kern w:val="0"/>
      <w:sz w:val="28"/>
      <w:szCs w:val="28"/>
    </w:rPr>
  </w:style>
  <w:style w:type="character" w:customStyle="1" w:styleId="72">
    <w:name w:val="正文文本 2 Char"/>
    <w:link w:val="34"/>
    <w:qFormat/>
    <w:locked/>
    <w:uiPriority w:val="99"/>
    <w:rPr>
      <w:rFonts w:ascii="宋体" w:hAnsi="宋体" w:eastAsia="宋体" w:cs="宋体"/>
      <w:kern w:val="0"/>
      <w:sz w:val="28"/>
      <w:szCs w:val="28"/>
    </w:rPr>
  </w:style>
  <w:style w:type="table" w:customStyle="1" w:styleId="73">
    <w:name w:val="浅色底纹 - 强调文字颜色 11"/>
    <w:basedOn w:val="39"/>
    <w:qFormat/>
    <w:uiPriority w:val="60"/>
    <w:rPr>
      <w:rFonts w:cs="Calibri"/>
      <w:color w:val="365F91"/>
      <w:sz w:val="22"/>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pPr>
      <w:rPr>
        <w:b/>
        <w:bCs/>
        <w:color w:val="365F91"/>
      </w:rPr>
      <w:tcPr>
        <w:tcBorders>
          <w:top w:val="single" w:color="4F81BD" w:sz="8" w:space="0"/>
          <w:left w:val="nil"/>
          <w:bottom w:val="single" w:color="4F81BD" w:sz="8" w:space="0"/>
          <w:right w:val="nil"/>
          <w:insideH w:val="nil"/>
          <w:insideV w:val="nil"/>
        </w:tcBorders>
      </w:tcPr>
    </w:tblStylePr>
    <w:tblStylePr w:type="lastRow">
      <w:pPr>
        <w:spacing w:before="0" w:after="0"/>
      </w:pPr>
      <w:rPr>
        <w:b/>
        <w:bCs/>
        <w:color w:val="365F91"/>
      </w:rPr>
      <w:tcPr>
        <w:tcBorders>
          <w:top w:val="single" w:color="4F81BD" w:sz="8" w:space="0"/>
          <w:left w:val="nil"/>
          <w:bottom w:val="single" w:color="4F81BD" w:sz="8" w:space="0"/>
          <w:right w:val="nil"/>
          <w:insideH w:val="nil"/>
          <w:insideV w:val="nil"/>
        </w:tcBorders>
      </w:tcPr>
    </w:tblStylePr>
    <w:tblStylePr w:type="firstCol">
      <w:rPr>
        <w:b/>
        <w:bCs/>
        <w:color w:val="365F91"/>
      </w:rPr>
    </w:tblStylePr>
    <w:tblStylePr w:type="lastCol">
      <w:rPr>
        <w:b/>
        <w:bCs/>
        <w:color w:val="365F91"/>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character" w:customStyle="1" w:styleId="74">
    <w:name w:val="未处理的提及1"/>
    <w:semiHidden/>
    <w:qFormat/>
    <w:uiPriority w:val="99"/>
    <w:rPr>
      <w:color w:val="auto"/>
      <w:shd w:val="clear" w:color="auto" w:fill="auto"/>
    </w:rPr>
  </w:style>
  <w:style w:type="paragraph" w:styleId="75">
    <w:name w:val="List Paragraph"/>
    <w:basedOn w:val="1"/>
    <w:qFormat/>
    <w:uiPriority w:val="99"/>
    <w:pPr>
      <w:ind w:firstLine="420" w:firstLineChars="200"/>
    </w:pPr>
    <w:rPr>
      <w:sz w:val="28"/>
      <w:szCs w:val="28"/>
    </w:rPr>
  </w:style>
  <w:style w:type="character" w:styleId="76">
    <w:name w:val="Placeholder Text"/>
    <w:semiHidden/>
    <w:qFormat/>
    <w:uiPriority w:val="99"/>
    <w:rPr>
      <w:color w:val="808080"/>
    </w:rPr>
  </w:style>
  <w:style w:type="paragraph" w:customStyle="1" w:styleId="77">
    <w:name w:val="hky正文"/>
    <w:basedOn w:val="1"/>
    <w:link w:val="79"/>
    <w:qFormat/>
    <w:uiPriority w:val="99"/>
    <w:pPr>
      <w:spacing w:line="360" w:lineRule="auto"/>
      <w:ind w:firstLine="560" w:firstLineChars="200"/>
      <w:textAlignment w:val="baseline"/>
    </w:pPr>
    <w:rPr>
      <w:sz w:val="24"/>
      <w:szCs w:val="24"/>
      <w:lang w:val="en-GB"/>
    </w:rPr>
  </w:style>
  <w:style w:type="paragraph" w:customStyle="1" w:styleId="78">
    <w:name w:val="hky图题"/>
    <w:basedOn w:val="14"/>
    <w:link w:val="82"/>
    <w:qFormat/>
    <w:uiPriority w:val="99"/>
    <w:pPr>
      <w:spacing w:beforeLines="50" w:afterLines="50" w:line="360" w:lineRule="auto"/>
      <w:ind w:firstLine="0" w:firstLineChars="0"/>
      <w:jc w:val="center"/>
    </w:pPr>
    <w:rPr>
      <w:rFonts w:ascii="Times New Roman" w:hAnsi="Times New Roman" w:cs="Times New Roman"/>
    </w:rPr>
  </w:style>
  <w:style w:type="character" w:customStyle="1" w:styleId="79">
    <w:name w:val="hky正文 字符"/>
    <w:link w:val="77"/>
    <w:qFormat/>
    <w:locked/>
    <w:uiPriority w:val="99"/>
    <w:rPr>
      <w:rFonts w:ascii="Times New Roman" w:hAnsi="Times New Roman" w:eastAsia="宋体" w:cs="Times New Roman"/>
      <w:sz w:val="28"/>
      <w:szCs w:val="28"/>
      <w:lang w:val="en-GB"/>
    </w:rPr>
  </w:style>
  <w:style w:type="paragraph" w:customStyle="1" w:styleId="80">
    <w:name w:val="hky表格字体"/>
    <w:basedOn w:val="1"/>
    <w:link w:val="84"/>
    <w:qFormat/>
    <w:uiPriority w:val="99"/>
    <w:pPr>
      <w:jc w:val="center"/>
    </w:pPr>
  </w:style>
  <w:style w:type="character" w:customStyle="1" w:styleId="81">
    <w:name w:val="题注 Char"/>
    <w:link w:val="14"/>
    <w:qFormat/>
    <w:locked/>
    <w:uiPriority w:val="99"/>
    <w:rPr>
      <w:rFonts w:ascii="Cambria" w:hAnsi="Cambria" w:eastAsia="黑体" w:cs="Cambria"/>
      <w:sz w:val="20"/>
      <w:szCs w:val="20"/>
    </w:rPr>
  </w:style>
  <w:style w:type="character" w:customStyle="1" w:styleId="82">
    <w:name w:val="hky图题 字符"/>
    <w:link w:val="78"/>
    <w:qFormat/>
    <w:locked/>
    <w:uiPriority w:val="99"/>
    <w:rPr>
      <w:rFonts w:ascii="Times New Roman" w:hAnsi="Times New Roman" w:eastAsia="黑体" w:cs="Times New Roman"/>
      <w:sz w:val="28"/>
      <w:szCs w:val="28"/>
    </w:rPr>
  </w:style>
  <w:style w:type="paragraph" w:customStyle="1" w:styleId="83">
    <w:name w:val="hky3级"/>
    <w:basedOn w:val="1"/>
    <w:link w:val="85"/>
    <w:qFormat/>
    <w:uiPriority w:val="99"/>
    <w:pPr>
      <w:keepNext/>
      <w:spacing w:beforeLines="50" w:afterLines="50" w:line="360" w:lineRule="auto"/>
      <w:outlineLvl w:val="2"/>
    </w:pPr>
    <w:rPr>
      <w:b/>
      <w:bCs/>
      <w:sz w:val="24"/>
      <w:szCs w:val="24"/>
    </w:rPr>
  </w:style>
  <w:style w:type="character" w:customStyle="1" w:styleId="84">
    <w:name w:val="hky表格字体 字符"/>
    <w:link w:val="80"/>
    <w:qFormat/>
    <w:locked/>
    <w:uiPriority w:val="99"/>
    <w:rPr>
      <w:rFonts w:ascii="Times New Roman" w:hAnsi="Times New Roman" w:eastAsia="宋体" w:cs="Times New Roman"/>
      <w:sz w:val="21"/>
      <w:szCs w:val="21"/>
    </w:rPr>
  </w:style>
  <w:style w:type="character" w:customStyle="1" w:styleId="85">
    <w:name w:val="hky3级 字符"/>
    <w:link w:val="83"/>
    <w:qFormat/>
    <w:locked/>
    <w:uiPriority w:val="99"/>
    <w:rPr>
      <w:rFonts w:ascii="Times New Roman" w:hAnsi="Times New Roman" w:eastAsia="宋体" w:cs="Times New Roman"/>
      <w:b/>
      <w:bCs/>
      <w:sz w:val="24"/>
      <w:szCs w:val="24"/>
    </w:rPr>
  </w:style>
  <w:style w:type="table" w:customStyle="1" w:styleId="86">
    <w:name w:val="hky表格"/>
    <w:qFormat/>
    <w:uiPriority w:val="99"/>
    <w:pPr>
      <w:jc w:val="center"/>
    </w:pPr>
    <w:tblPr>
      <w:jc w:val="center"/>
      <w:tblBorders>
        <w:top w:val="single" w:color="auto" w:sz="12" w:space="0"/>
        <w:bottom w:val="single" w:color="auto" w:sz="12" w:space="0"/>
        <w:insideH w:val="single" w:color="auto" w:sz="4" w:space="0"/>
        <w:insideV w:val="single" w:color="auto" w:sz="4" w:space="0"/>
      </w:tblBorders>
      <w:tblCellMar>
        <w:top w:w="0" w:type="dxa"/>
        <w:left w:w="108" w:type="dxa"/>
        <w:bottom w:w="0" w:type="dxa"/>
        <w:right w:w="108" w:type="dxa"/>
      </w:tblCellMar>
    </w:tblPr>
    <w:trPr>
      <w:jc w:val="center"/>
    </w:trPr>
  </w:style>
  <w:style w:type="paragraph" w:customStyle="1" w:styleId="87">
    <w:name w:val="hky一级"/>
    <w:basedOn w:val="3"/>
    <w:link w:val="89"/>
    <w:qFormat/>
    <w:uiPriority w:val="99"/>
    <w:pPr>
      <w:snapToGrid w:val="0"/>
      <w:spacing w:beforeLines="50" w:afterLines="50" w:line="360" w:lineRule="auto"/>
    </w:pPr>
    <w:rPr>
      <w:rFonts w:eastAsia="宋体"/>
      <w:b/>
      <w:bCs/>
      <w:sz w:val="28"/>
      <w:szCs w:val="28"/>
    </w:rPr>
  </w:style>
  <w:style w:type="paragraph" w:customStyle="1" w:styleId="88">
    <w:name w:val="hky2级"/>
    <w:basedOn w:val="4"/>
    <w:link w:val="90"/>
    <w:qFormat/>
    <w:uiPriority w:val="99"/>
    <w:pPr>
      <w:snapToGrid w:val="0"/>
      <w:spacing w:beforeLines="50" w:afterLines="50" w:line="360" w:lineRule="auto"/>
    </w:pPr>
    <w:rPr>
      <w:rFonts w:ascii="Times New Roman" w:hAnsi="Times New Roman" w:eastAsia="宋体" w:cs="Times New Roman"/>
      <w:kern w:val="0"/>
      <w:sz w:val="24"/>
      <w:szCs w:val="24"/>
    </w:rPr>
  </w:style>
  <w:style w:type="character" w:customStyle="1" w:styleId="89">
    <w:name w:val="hky一级 字符"/>
    <w:link w:val="87"/>
    <w:qFormat/>
    <w:locked/>
    <w:uiPriority w:val="99"/>
    <w:rPr>
      <w:rFonts w:ascii="Times New Roman" w:hAnsi="Times New Roman" w:eastAsia="宋体" w:cs="Times New Roman"/>
      <w:b/>
      <w:bCs/>
      <w:kern w:val="44"/>
      <w:sz w:val="30"/>
      <w:szCs w:val="30"/>
    </w:rPr>
  </w:style>
  <w:style w:type="character" w:customStyle="1" w:styleId="90">
    <w:name w:val="hky2级 字符"/>
    <w:link w:val="88"/>
    <w:qFormat/>
    <w:locked/>
    <w:uiPriority w:val="99"/>
    <w:rPr>
      <w:rFonts w:ascii="Times New Roman" w:hAnsi="Times New Roman" w:eastAsia="宋体" w:cs="Times New Roman"/>
      <w:b/>
      <w:bCs/>
      <w:kern w:val="0"/>
      <w:sz w:val="28"/>
      <w:szCs w:val="28"/>
    </w:rPr>
  </w:style>
  <w:style w:type="paragraph" w:customStyle="1" w:styleId="91">
    <w:name w:val="hky标题"/>
    <w:basedOn w:val="1"/>
    <w:link w:val="93"/>
    <w:qFormat/>
    <w:uiPriority w:val="99"/>
    <w:pPr>
      <w:spacing w:beforeLines="50" w:line="360" w:lineRule="auto"/>
      <w:jc w:val="center"/>
      <w:outlineLvl w:val="0"/>
    </w:pPr>
    <w:rPr>
      <w:rFonts w:eastAsia="黑体"/>
      <w:color w:val="000000"/>
      <w:sz w:val="44"/>
      <w:szCs w:val="44"/>
    </w:rPr>
  </w:style>
  <w:style w:type="paragraph" w:customStyle="1" w:styleId="92">
    <w:name w:val="hky编制单位时间"/>
    <w:basedOn w:val="1"/>
    <w:link w:val="95"/>
    <w:qFormat/>
    <w:uiPriority w:val="99"/>
    <w:pPr>
      <w:jc w:val="center"/>
    </w:pPr>
    <w:rPr>
      <w:color w:val="000000"/>
      <w:sz w:val="28"/>
      <w:szCs w:val="28"/>
    </w:rPr>
  </w:style>
  <w:style w:type="character" w:customStyle="1" w:styleId="93">
    <w:name w:val="hky标题 字符"/>
    <w:link w:val="91"/>
    <w:qFormat/>
    <w:locked/>
    <w:uiPriority w:val="99"/>
    <w:rPr>
      <w:rFonts w:ascii="Times New Roman" w:hAnsi="Times New Roman" w:eastAsia="黑体" w:cs="Times New Roman"/>
      <w:color w:val="000000"/>
      <w:sz w:val="44"/>
      <w:szCs w:val="44"/>
    </w:rPr>
  </w:style>
  <w:style w:type="paragraph" w:customStyle="1" w:styleId="94">
    <w:name w:val="公式"/>
    <w:basedOn w:val="77"/>
    <w:link w:val="97"/>
    <w:qFormat/>
    <w:uiPriority w:val="99"/>
    <w:pPr>
      <w:ind w:firstLine="480"/>
      <w:jc w:val="right"/>
    </w:pPr>
  </w:style>
  <w:style w:type="character" w:customStyle="1" w:styleId="95">
    <w:name w:val="hky编制单位时间 字符"/>
    <w:link w:val="92"/>
    <w:qFormat/>
    <w:locked/>
    <w:uiPriority w:val="99"/>
    <w:rPr>
      <w:rFonts w:ascii="Times New Roman" w:hAnsi="Times New Roman" w:eastAsia="宋体" w:cs="Times New Roman"/>
      <w:color w:val="000000"/>
      <w:sz w:val="28"/>
      <w:szCs w:val="28"/>
    </w:rPr>
  </w:style>
  <w:style w:type="paragraph" w:customStyle="1" w:styleId="96">
    <w:name w:val="hky4级"/>
    <w:basedOn w:val="83"/>
    <w:link w:val="98"/>
    <w:qFormat/>
    <w:uiPriority w:val="99"/>
    <w:pPr>
      <w:spacing w:before="156" w:after="156"/>
      <w:outlineLvl w:val="3"/>
    </w:pPr>
  </w:style>
  <w:style w:type="character" w:customStyle="1" w:styleId="97">
    <w:name w:val="公式 字符"/>
    <w:link w:val="94"/>
    <w:qFormat/>
    <w:locked/>
    <w:uiPriority w:val="99"/>
    <w:rPr>
      <w:rFonts w:ascii="Times New Roman" w:hAnsi="Times New Roman" w:eastAsia="宋体" w:cs="Times New Roman"/>
      <w:sz w:val="28"/>
      <w:szCs w:val="28"/>
      <w:lang w:val="en-GB"/>
    </w:rPr>
  </w:style>
  <w:style w:type="character" w:customStyle="1" w:styleId="98">
    <w:name w:val="hky4级 字符"/>
    <w:link w:val="96"/>
    <w:qFormat/>
    <w:locked/>
    <w:uiPriority w:val="99"/>
    <w:rPr>
      <w:rFonts w:ascii="Times New Roman" w:hAnsi="Times New Roman" w:eastAsia="宋体" w:cs="Times New Roman"/>
      <w:b/>
      <w:bCs/>
      <w:sz w:val="24"/>
      <w:szCs w:val="24"/>
    </w:rPr>
  </w:style>
  <w:style w:type="paragraph" w:customStyle="1" w:styleId="99">
    <w:name w:val="标题2"/>
    <w:basedOn w:val="1"/>
    <w:next w:val="17"/>
    <w:link w:val="100"/>
    <w:qFormat/>
    <w:uiPriority w:val="99"/>
    <w:pPr>
      <w:numPr>
        <w:ilvl w:val="0"/>
        <w:numId w:val="1"/>
      </w:numPr>
      <w:tabs>
        <w:tab w:val="left" w:pos="1418"/>
      </w:tabs>
      <w:ind w:firstLine="200" w:firstLineChars="200"/>
      <w:outlineLvl w:val="1"/>
    </w:pPr>
    <w:rPr>
      <w:rFonts w:ascii="宋体" w:hAnsi="楷体" w:cs="宋体"/>
      <w:b/>
      <w:bCs/>
      <w:sz w:val="30"/>
      <w:szCs w:val="30"/>
    </w:rPr>
  </w:style>
  <w:style w:type="character" w:customStyle="1" w:styleId="100">
    <w:name w:val="标题2 Char"/>
    <w:link w:val="99"/>
    <w:qFormat/>
    <w:locked/>
    <w:uiPriority w:val="99"/>
    <w:rPr>
      <w:rFonts w:ascii="宋体" w:hAnsi="楷体" w:cs="宋体"/>
      <w:b/>
      <w:bCs/>
      <w:sz w:val="30"/>
      <w:szCs w:val="30"/>
    </w:rPr>
  </w:style>
  <w:style w:type="paragraph" w:customStyle="1" w:styleId="101">
    <w:name w:val="_Style 17"/>
    <w:basedOn w:val="1"/>
    <w:qFormat/>
    <w:uiPriority w:val="99"/>
  </w:style>
  <w:style w:type="paragraph" w:styleId="102">
    <w:name w:val="No Spacing"/>
    <w:qFormat/>
    <w:uiPriority w:val="99"/>
    <w:pPr>
      <w:widowControl w:val="0"/>
      <w:spacing w:line="320" w:lineRule="exact"/>
      <w:jc w:val="both"/>
    </w:pPr>
    <w:rPr>
      <w:rFonts w:ascii="Times New Roman" w:hAnsi="Times New Roman" w:eastAsia="宋体" w:cs="Times New Roman"/>
      <w:kern w:val="2"/>
      <w:sz w:val="21"/>
      <w:szCs w:val="21"/>
      <w:lang w:val="en-US" w:eastAsia="zh-CN" w:bidi="ar-SA"/>
    </w:rPr>
  </w:style>
  <w:style w:type="character" w:customStyle="1" w:styleId="103">
    <w:name w:val="【表格文字】 Char Char"/>
    <w:qFormat/>
    <w:uiPriority w:val="99"/>
    <w:rPr>
      <w:rFonts w:eastAsia="宋体"/>
      <w:kern w:val="2"/>
      <w:sz w:val="24"/>
      <w:szCs w:val="24"/>
      <w:lang w:val="en-US" w:eastAsia="zh-CN"/>
    </w:rPr>
  </w:style>
  <w:style w:type="paragraph" w:customStyle="1" w:styleId="104">
    <w:name w:val="样式3"/>
    <w:basedOn w:val="1"/>
    <w:qFormat/>
    <w:uiPriority w:val="99"/>
    <w:pPr>
      <w:spacing w:line="360" w:lineRule="auto"/>
      <w:ind w:firstLine="200" w:firstLineChars="200"/>
    </w:pPr>
    <w:rPr>
      <w:rFonts w:eastAsia="楷体_GB2312"/>
      <w:sz w:val="28"/>
      <w:szCs w:val="28"/>
    </w:rPr>
  </w:style>
  <w:style w:type="paragraph" w:customStyle="1" w:styleId="105">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6">
    <w:name w:val="图表名称"/>
    <w:basedOn w:val="1"/>
    <w:next w:val="1"/>
    <w:link w:val="107"/>
    <w:qFormat/>
    <w:uiPriority w:val="99"/>
    <w:pPr>
      <w:spacing w:beforeLines="50" w:afterLines="50"/>
      <w:jc w:val="center"/>
    </w:pPr>
    <w:rPr>
      <w:rFonts w:ascii="宋体" w:hAnsi="宋体" w:cs="宋体"/>
      <w:b/>
      <w:bCs/>
      <w:kern w:val="0"/>
      <w:lang w:val="zh-CN"/>
    </w:rPr>
  </w:style>
  <w:style w:type="character" w:customStyle="1" w:styleId="107">
    <w:name w:val="图表名称 Char"/>
    <w:link w:val="106"/>
    <w:qFormat/>
    <w:locked/>
    <w:uiPriority w:val="99"/>
    <w:rPr>
      <w:rFonts w:ascii="宋体" w:hAnsi="宋体" w:eastAsia="宋体" w:cs="宋体"/>
      <w:b/>
      <w:bCs/>
      <w:sz w:val="21"/>
      <w:szCs w:val="21"/>
      <w:lang w:val="zh-CN"/>
    </w:rPr>
  </w:style>
  <w:style w:type="paragraph" w:customStyle="1" w:styleId="108">
    <w:name w:val="Table Paragraph"/>
    <w:basedOn w:val="1"/>
    <w:qFormat/>
    <w:uiPriority w:val="99"/>
    <w:pPr>
      <w:widowControl/>
      <w:autoSpaceDE w:val="0"/>
      <w:autoSpaceDN w:val="0"/>
      <w:spacing w:after="200" w:line="276" w:lineRule="auto"/>
      <w:jc w:val="left"/>
    </w:pPr>
    <w:rPr>
      <w:rFonts w:ascii="宋体" w:hAnsi="宋体" w:cs="宋体"/>
      <w:kern w:val="0"/>
      <w:sz w:val="22"/>
      <w:szCs w:val="22"/>
      <w:lang w:val="zh-CN"/>
    </w:rPr>
  </w:style>
  <w:style w:type="paragraph" w:customStyle="1" w:styleId="109">
    <w:name w:val="大标题"/>
    <w:basedOn w:val="1"/>
    <w:link w:val="111"/>
    <w:qFormat/>
    <w:uiPriority w:val="99"/>
    <w:pPr>
      <w:spacing w:beforeLines="50" w:afterLines="50" w:line="360" w:lineRule="auto"/>
      <w:ind w:firstLine="200" w:firstLineChars="200"/>
      <w:jc w:val="center"/>
    </w:pPr>
    <w:rPr>
      <w:rFonts w:eastAsia="黑体"/>
      <w:color w:val="000000"/>
      <w:sz w:val="32"/>
      <w:szCs w:val="32"/>
    </w:rPr>
  </w:style>
  <w:style w:type="paragraph" w:customStyle="1" w:styleId="110">
    <w:name w:val="附件标题"/>
    <w:basedOn w:val="109"/>
    <w:link w:val="113"/>
    <w:qFormat/>
    <w:uiPriority w:val="99"/>
    <w:pPr>
      <w:ind w:firstLine="0" w:firstLineChars="0"/>
      <w:jc w:val="left"/>
      <w:outlineLvl w:val="1"/>
    </w:pPr>
  </w:style>
  <w:style w:type="character" w:customStyle="1" w:styleId="111">
    <w:name w:val="大标题 字符"/>
    <w:link w:val="109"/>
    <w:qFormat/>
    <w:locked/>
    <w:uiPriority w:val="99"/>
    <w:rPr>
      <w:rFonts w:ascii="Times New Roman" w:hAnsi="Times New Roman" w:eastAsia="黑体" w:cs="Times New Roman"/>
      <w:color w:val="000000"/>
      <w:sz w:val="44"/>
      <w:szCs w:val="44"/>
    </w:rPr>
  </w:style>
  <w:style w:type="paragraph" w:customStyle="1" w:styleId="112">
    <w:name w:val="hky5级"/>
    <w:basedOn w:val="1"/>
    <w:link w:val="115"/>
    <w:qFormat/>
    <w:uiPriority w:val="99"/>
    <w:pPr>
      <w:spacing w:line="360" w:lineRule="auto"/>
      <w:ind w:firstLine="200" w:firstLineChars="200"/>
      <w:outlineLvl w:val="4"/>
    </w:pPr>
    <w:rPr>
      <w:kern w:val="0"/>
      <w:sz w:val="24"/>
      <w:szCs w:val="24"/>
    </w:rPr>
  </w:style>
  <w:style w:type="character" w:customStyle="1" w:styleId="113">
    <w:name w:val="附件标题 字符"/>
    <w:link w:val="110"/>
    <w:qFormat/>
    <w:locked/>
    <w:uiPriority w:val="99"/>
    <w:rPr>
      <w:rFonts w:ascii="Times New Roman" w:hAnsi="Times New Roman" w:eastAsia="黑体" w:cs="Times New Roman"/>
      <w:color w:val="000000"/>
      <w:sz w:val="44"/>
      <w:szCs w:val="44"/>
    </w:rPr>
  </w:style>
  <w:style w:type="paragraph" w:customStyle="1" w:styleId="114">
    <w:name w:val="hky6级"/>
    <w:basedOn w:val="112"/>
    <w:link w:val="117"/>
    <w:qFormat/>
    <w:uiPriority w:val="99"/>
    <w:pPr>
      <w:ind w:firstLine="480"/>
      <w:outlineLvl w:val="5"/>
    </w:pPr>
  </w:style>
  <w:style w:type="character" w:customStyle="1" w:styleId="115">
    <w:name w:val="hky5级 字符"/>
    <w:link w:val="112"/>
    <w:qFormat/>
    <w:locked/>
    <w:uiPriority w:val="99"/>
    <w:rPr>
      <w:rFonts w:ascii="Times New Roman" w:hAnsi="Times New Roman" w:eastAsia="宋体" w:cs="Times New Roman"/>
      <w:kern w:val="0"/>
      <w:sz w:val="28"/>
      <w:szCs w:val="28"/>
    </w:rPr>
  </w:style>
  <w:style w:type="paragraph" w:customStyle="1" w:styleId="116">
    <w:name w:val="2级无段后"/>
    <w:basedOn w:val="88"/>
    <w:link w:val="119"/>
    <w:qFormat/>
    <w:uiPriority w:val="99"/>
    <w:pPr>
      <w:spacing w:before="190" w:afterLines="0"/>
    </w:pPr>
  </w:style>
  <w:style w:type="character" w:customStyle="1" w:styleId="117">
    <w:name w:val="hky6级 字符"/>
    <w:link w:val="114"/>
    <w:qFormat/>
    <w:locked/>
    <w:uiPriority w:val="99"/>
    <w:rPr>
      <w:rFonts w:ascii="Times New Roman" w:hAnsi="Times New Roman" w:eastAsia="宋体" w:cs="Times New Roman"/>
      <w:kern w:val="0"/>
      <w:sz w:val="28"/>
      <w:szCs w:val="28"/>
    </w:rPr>
  </w:style>
  <w:style w:type="paragraph" w:customStyle="1" w:styleId="118">
    <w:name w:val="3级无段前"/>
    <w:basedOn w:val="83"/>
    <w:link w:val="121"/>
    <w:qFormat/>
    <w:uiPriority w:val="99"/>
    <w:pPr>
      <w:spacing w:beforeLines="0" w:after="190"/>
    </w:pPr>
  </w:style>
  <w:style w:type="character" w:customStyle="1" w:styleId="119">
    <w:name w:val="2级无段后 字符"/>
    <w:link w:val="116"/>
    <w:qFormat/>
    <w:locked/>
    <w:uiPriority w:val="99"/>
    <w:rPr>
      <w:rFonts w:ascii="Times New Roman" w:hAnsi="Times New Roman" w:eastAsia="宋体" w:cs="Times New Roman"/>
      <w:b/>
      <w:bCs/>
      <w:kern w:val="0"/>
      <w:sz w:val="28"/>
      <w:szCs w:val="28"/>
    </w:rPr>
  </w:style>
  <w:style w:type="paragraph" w:customStyle="1" w:styleId="120">
    <w:name w:val="3级无段后"/>
    <w:basedOn w:val="83"/>
    <w:link w:val="123"/>
    <w:qFormat/>
    <w:uiPriority w:val="99"/>
    <w:pPr>
      <w:spacing w:afterLines="0"/>
    </w:pPr>
  </w:style>
  <w:style w:type="character" w:customStyle="1" w:styleId="121">
    <w:name w:val="3级无段前 字符"/>
    <w:link w:val="118"/>
    <w:qFormat/>
    <w:locked/>
    <w:uiPriority w:val="99"/>
    <w:rPr>
      <w:rFonts w:ascii="Times New Roman" w:hAnsi="Times New Roman" w:eastAsia="宋体" w:cs="Times New Roman"/>
      <w:b/>
      <w:bCs/>
      <w:sz w:val="24"/>
      <w:szCs w:val="24"/>
    </w:rPr>
  </w:style>
  <w:style w:type="paragraph" w:customStyle="1" w:styleId="122">
    <w:name w:val="4级无段前"/>
    <w:basedOn w:val="96"/>
    <w:link w:val="125"/>
    <w:qFormat/>
    <w:uiPriority w:val="99"/>
    <w:pPr>
      <w:spacing w:beforeLines="0" w:after="50"/>
    </w:pPr>
  </w:style>
  <w:style w:type="character" w:customStyle="1" w:styleId="123">
    <w:name w:val="3级无段后 字符"/>
    <w:link w:val="120"/>
    <w:qFormat/>
    <w:locked/>
    <w:uiPriority w:val="99"/>
    <w:rPr>
      <w:rFonts w:ascii="Times New Roman" w:hAnsi="Times New Roman" w:eastAsia="宋体" w:cs="Times New Roman"/>
      <w:b/>
      <w:bCs/>
      <w:sz w:val="24"/>
      <w:szCs w:val="24"/>
    </w:rPr>
  </w:style>
  <w:style w:type="paragraph" w:customStyle="1" w:styleId="124">
    <w:name w:val="4级无段后"/>
    <w:basedOn w:val="96"/>
    <w:link w:val="127"/>
    <w:qFormat/>
    <w:uiPriority w:val="99"/>
    <w:pPr>
      <w:spacing w:before="190" w:afterLines="0"/>
    </w:pPr>
  </w:style>
  <w:style w:type="character" w:customStyle="1" w:styleId="125">
    <w:name w:val="4级无段前 字符"/>
    <w:link w:val="122"/>
    <w:qFormat/>
    <w:locked/>
    <w:uiPriority w:val="99"/>
    <w:rPr>
      <w:rFonts w:ascii="Times New Roman" w:hAnsi="Times New Roman" w:eastAsia="宋体" w:cs="Times New Roman"/>
      <w:b/>
      <w:bCs/>
      <w:sz w:val="24"/>
      <w:szCs w:val="24"/>
    </w:rPr>
  </w:style>
  <w:style w:type="paragraph" w:customStyle="1" w:styleId="126">
    <w:name w:val="修订1"/>
    <w:hidden/>
    <w:semiHidden/>
    <w:qFormat/>
    <w:uiPriority w:val="99"/>
    <w:rPr>
      <w:rFonts w:ascii="Times New Roman" w:hAnsi="Times New Roman" w:eastAsia="宋体" w:cs="Times New Roman"/>
      <w:kern w:val="2"/>
      <w:sz w:val="28"/>
      <w:szCs w:val="28"/>
      <w:lang w:val="en-US" w:eastAsia="zh-CN" w:bidi="ar-SA"/>
    </w:rPr>
  </w:style>
  <w:style w:type="character" w:customStyle="1" w:styleId="127">
    <w:name w:val="4级无段后 字符"/>
    <w:link w:val="124"/>
    <w:qFormat/>
    <w:locked/>
    <w:uiPriority w:val="99"/>
    <w:rPr>
      <w:rFonts w:ascii="Times New Roman" w:hAnsi="Times New Roman" w:eastAsia="宋体" w:cs="Times New Roman"/>
      <w:b/>
      <w:bCs/>
      <w:sz w:val="24"/>
      <w:szCs w:val="24"/>
    </w:rPr>
  </w:style>
  <w:style w:type="character" w:customStyle="1" w:styleId="128">
    <w:name w:val="个人答复风格"/>
    <w:qFormat/>
    <w:uiPriority w:val="99"/>
    <w:rPr>
      <w:rFonts w:ascii="Arial" w:hAnsi="Arial" w:eastAsia="宋体" w:cs="Arial"/>
      <w:color w:val="auto"/>
      <w:sz w:val="20"/>
      <w:szCs w:val="20"/>
    </w:rPr>
  </w:style>
  <w:style w:type="character" w:customStyle="1" w:styleId="129">
    <w:name w:val="个人撰写风格"/>
    <w:qFormat/>
    <w:uiPriority w:val="99"/>
    <w:rPr>
      <w:rFonts w:ascii="Arial" w:hAnsi="Arial" w:eastAsia="宋体" w:cs="Arial"/>
      <w:color w:val="auto"/>
      <w:sz w:val="20"/>
      <w:szCs w:val="20"/>
    </w:rPr>
  </w:style>
  <w:style w:type="character" w:customStyle="1" w:styleId="130">
    <w:name w:val="文档结构图 Char1"/>
    <w:qFormat/>
    <w:uiPriority w:val="99"/>
    <w:rPr>
      <w:rFonts w:ascii="宋体" w:cs="宋体"/>
      <w:kern w:val="2"/>
      <w:sz w:val="18"/>
      <w:szCs w:val="18"/>
    </w:rPr>
  </w:style>
  <w:style w:type="paragraph" w:styleId="131">
    <w:name w:val="Quote"/>
    <w:basedOn w:val="1"/>
    <w:next w:val="1"/>
    <w:link w:val="132"/>
    <w:qFormat/>
    <w:uiPriority w:val="99"/>
    <w:pPr>
      <w:widowControl/>
      <w:spacing w:before="200" w:line="276" w:lineRule="auto"/>
      <w:ind w:left="360" w:right="360"/>
      <w:jc w:val="left"/>
    </w:pPr>
    <w:rPr>
      <w:rFonts w:ascii="Calibri" w:hAnsi="Calibri" w:cs="Calibri"/>
      <w:i/>
      <w:iCs/>
      <w:kern w:val="0"/>
      <w:sz w:val="22"/>
      <w:szCs w:val="22"/>
    </w:rPr>
  </w:style>
  <w:style w:type="character" w:customStyle="1" w:styleId="132">
    <w:name w:val="引用 Char"/>
    <w:link w:val="131"/>
    <w:qFormat/>
    <w:locked/>
    <w:uiPriority w:val="99"/>
    <w:rPr>
      <w:rFonts w:ascii="Calibri" w:hAnsi="Calibri" w:eastAsia="宋体" w:cs="Calibri"/>
      <w:i/>
      <w:iCs/>
      <w:kern w:val="0"/>
      <w:sz w:val="22"/>
      <w:szCs w:val="22"/>
    </w:rPr>
  </w:style>
  <w:style w:type="paragraph" w:styleId="133">
    <w:name w:val="Intense Quote"/>
    <w:basedOn w:val="1"/>
    <w:next w:val="1"/>
    <w:link w:val="134"/>
    <w:qFormat/>
    <w:uiPriority w:val="99"/>
    <w:pPr>
      <w:widowControl/>
      <w:pBdr>
        <w:bottom w:val="single" w:color="auto" w:sz="4" w:space="1"/>
      </w:pBdr>
      <w:spacing w:before="200" w:after="280" w:line="276" w:lineRule="auto"/>
      <w:ind w:left="1008" w:right="1152"/>
    </w:pPr>
    <w:rPr>
      <w:rFonts w:ascii="Calibri" w:hAnsi="Calibri" w:cs="Calibri"/>
      <w:b/>
      <w:bCs/>
      <w:i/>
      <w:iCs/>
      <w:kern w:val="0"/>
      <w:sz w:val="22"/>
      <w:szCs w:val="22"/>
    </w:rPr>
  </w:style>
  <w:style w:type="character" w:customStyle="1" w:styleId="134">
    <w:name w:val="明显引用 Char"/>
    <w:link w:val="133"/>
    <w:qFormat/>
    <w:locked/>
    <w:uiPriority w:val="99"/>
    <w:rPr>
      <w:rFonts w:ascii="Calibri" w:hAnsi="Calibri" w:eastAsia="宋体" w:cs="Calibri"/>
      <w:b/>
      <w:bCs/>
      <w:i/>
      <w:iCs/>
      <w:kern w:val="0"/>
      <w:sz w:val="22"/>
      <w:szCs w:val="22"/>
    </w:rPr>
  </w:style>
  <w:style w:type="character" w:customStyle="1" w:styleId="135">
    <w:name w:val="不明显强调1"/>
    <w:qFormat/>
    <w:uiPriority w:val="99"/>
    <w:rPr>
      <w:i/>
      <w:iCs/>
    </w:rPr>
  </w:style>
  <w:style w:type="character" w:customStyle="1" w:styleId="136">
    <w:name w:val="明显强调1"/>
    <w:qFormat/>
    <w:uiPriority w:val="99"/>
    <w:rPr>
      <w:b/>
      <w:bCs/>
    </w:rPr>
  </w:style>
  <w:style w:type="character" w:customStyle="1" w:styleId="137">
    <w:name w:val="不明显参考1"/>
    <w:qFormat/>
    <w:uiPriority w:val="99"/>
    <w:rPr>
      <w:smallCaps/>
    </w:rPr>
  </w:style>
  <w:style w:type="character" w:customStyle="1" w:styleId="138">
    <w:name w:val="明显参考1"/>
    <w:qFormat/>
    <w:uiPriority w:val="99"/>
    <w:rPr>
      <w:smallCaps/>
      <w:spacing w:val="5"/>
      <w:u w:val="single"/>
    </w:rPr>
  </w:style>
  <w:style w:type="character" w:customStyle="1" w:styleId="139">
    <w:name w:val="书籍标题1"/>
    <w:qFormat/>
    <w:uiPriority w:val="99"/>
    <w:rPr>
      <w:i/>
      <w:iCs/>
      <w:smallCaps/>
      <w:spacing w:val="5"/>
    </w:rPr>
  </w:style>
  <w:style w:type="paragraph" w:customStyle="1" w:styleId="140">
    <w:name w:val="TOC 标题1"/>
    <w:basedOn w:val="3"/>
    <w:next w:val="1"/>
    <w:semiHidden/>
    <w:qFormat/>
    <w:uiPriority w:val="99"/>
    <w:pPr>
      <w:keepNext w:val="0"/>
      <w:keepLines w:val="0"/>
      <w:widowControl/>
      <w:spacing w:before="480" w:after="0" w:line="276" w:lineRule="auto"/>
      <w:jc w:val="left"/>
      <w:outlineLvl w:val="9"/>
    </w:pPr>
    <w:rPr>
      <w:rFonts w:eastAsia="宋体"/>
      <w:b/>
      <w:bCs/>
      <w:kern w:val="0"/>
      <w:sz w:val="28"/>
      <w:szCs w:val="28"/>
    </w:rPr>
  </w:style>
  <w:style w:type="character" w:customStyle="1" w:styleId="141">
    <w:name w:val="正文缩进 Char"/>
    <w:link w:val="13"/>
    <w:qFormat/>
    <w:locked/>
    <w:uiPriority w:val="99"/>
    <w:rPr>
      <w:rFonts w:ascii="Times New Roman" w:hAnsi="Times New Roman" w:eastAsia="宋体" w:cs="Times New Roman"/>
      <w:kern w:val="0"/>
      <w:sz w:val="20"/>
      <w:szCs w:val="20"/>
    </w:rPr>
  </w:style>
  <w:style w:type="character" w:customStyle="1" w:styleId="142">
    <w:name w:val="style3"/>
    <w:basedOn w:val="41"/>
    <w:qFormat/>
    <w:uiPriority w:val="99"/>
  </w:style>
  <w:style w:type="character" w:customStyle="1" w:styleId="143">
    <w:name w:val="11111111111111 Char"/>
    <w:link w:val="144"/>
    <w:qFormat/>
    <w:locked/>
    <w:uiPriority w:val="99"/>
    <w:rPr>
      <w:rFonts w:ascii="宋体" w:eastAsia="宋体" w:cs="宋体"/>
      <w:sz w:val="24"/>
      <w:szCs w:val="24"/>
    </w:rPr>
  </w:style>
  <w:style w:type="paragraph" w:customStyle="1" w:styleId="144">
    <w:name w:val="11111111111111"/>
    <w:basedOn w:val="1"/>
    <w:link w:val="143"/>
    <w:qFormat/>
    <w:uiPriority w:val="99"/>
    <w:pPr>
      <w:spacing w:line="560" w:lineRule="exact"/>
      <w:ind w:firstLine="480" w:firstLineChars="200"/>
    </w:pPr>
    <w:rPr>
      <w:rFonts w:ascii="宋体" w:hAnsi="Calibri" w:cs="宋体"/>
      <w:kern w:val="0"/>
      <w:sz w:val="24"/>
      <w:szCs w:val="24"/>
    </w:rPr>
  </w:style>
  <w:style w:type="character" w:customStyle="1" w:styleId="145">
    <w:name w:val="普通(网站) Char"/>
    <w:link w:val="35"/>
    <w:qFormat/>
    <w:locked/>
    <w:uiPriority w:val="99"/>
    <w:rPr>
      <w:rFonts w:ascii="Times New Roman" w:hAnsi="Times New Roman" w:eastAsia="宋体" w:cs="Times New Roman"/>
      <w:kern w:val="0"/>
      <w:sz w:val="24"/>
      <w:szCs w:val="24"/>
    </w:rPr>
  </w:style>
  <w:style w:type="table" w:customStyle="1" w:styleId="146">
    <w:name w:val="网格型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7">
    <w:name w:val="hky目录标题"/>
    <w:basedOn w:val="1"/>
    <w:link w:val="148"/>
    <w:qFormat/>
    <w:uiPriority w:val="99"/>
    <w:pPr>
      <w:widowControl/>
      <w:spacing w:beforeLines="50" w:afterLines="50" w:line="360" w:lineRule="auto"/>
      <w:jc w:val="center"/>
    </w:pPr>
    <w:rPr>
      <w:rFonts w:ascii="黑体" w:hAnsi="黑体" w:eastAsia="黑体" w:cs="黑体"/>
      <w:sz w:val="32"/>
      <w:szCs w:val="32"/>
    </w:rPr>
  </w:style>
  <w:style w:type="character" w:customStyle="1" w:styleId="148">
    <w:name w:val="hky目录标题 字符"/>
    <w:link w:val="147"/>
    <w:qFormat/>
    <w:locked/>
    <w:uiPriority w:val="99"/>
    <w:rPr>
      <w:rFonts w:ascii="黑体" w:hAnsi="黑体" w:eastAsia="黑体" w:cs="黑体"/>
      <w:sz w:val="21"/>
      <w:szCs w:val="21"/>
    </w:rPr>
  </w:style>
  <w:style w:type="character" w:customStyle="1" w:styleId="149">
    <w:name w:val="未处理的提及2"/>
    <w:semiHidden/>
    <w:qFormat/>
    <w:uiPriority w:val="99"/>
    <w:rPr>
      <w:color w:val="auto"/>
      <w:shd w:val="clear" w:color="auto" w:fill="auto"/>
    </w:rPr>
  </w:style>
  <w:style w:type="paragraph" w:customStyle="1" w:styleId="150">
    <w:name w:val="hky目录内容格式"/>
    <w:basedOn w:val="32"/>
    <w:link w:val="153"/>
    <w:qFormat/>
    <w:uiPriority w:val="99"/>
    <w:pPr>
      <w:tabs>
        <w:tab w:val="right" w:leader="dot" w:pos="8494"/>
      </w:tabs>
      <w:spacing w:before="50" w:after="50" w:line="360" w:lineRule="auto"/>
      <w:ind w:left="0"/>
    </w:pPr>
    <w:rPr>
      <w:rFonts w:ascii="Times" w:hAnsi="Times" w:eastAsia="宋体" w:cs="Times"/>
      <w:sz w:val="28"/>
      <w:szCs w:val="28"/>
    </w:rPr>
  </w:style>
  <w:style w:type="paragraph" w:customStyle="1" w:styleId="151">
    <w:name w:val="TOC 标题2"/>
    <w:basedOn w:val="3"/>
    <w:next w:val="1"/>
    <w:qFormat/>
    <w:uiPriority w:val="99"/>
    <w:pPr>
      <w:widowControl/>
      <w:spacing w:before="240" w:after="0" w:line="259" w:lineRule="auto"/>
      <w:jc w:val="left"/>
      <w:outlineLvl w:val="9"/>
    </w:pPr>
    <w:rPr>
      <w:rFonts w:eastAsia="宋体"/>
      <w:color w:val="365F91"/>
      <w:kern w:val="0"/>
    </w:rPr>
  </w:style>
  <w:style w:type="character" w:customStyle="1" w:styleId="152">
    <w:name w:val="目录 2 Char"/>
    <w:link w:val="32"/>
    <w:qFormat/>
    <w:locked/>
    <w:uiPriority w:val="99"/>
    <w:rPr>
      <w:rFonts w:ascii="Calibri" w:hAnsi="Calibri" w:eastAsia="黑体" w:cs="Calibri"/>
      <w:smallCaps/>
      <w:kern w:val="0"/>
      <w:sz w:val="20"/>
      <w:szCs w:val="20"/>
    </w:rPr>
  </w:style>
  <w:style w:type="character" w:customStyle="1" w:styleId="153">
    <w:name w:val="hky目录内容格式 字符"/>
    <w:link w:val="150"/>
    <w:qFormat/>
    <w:locked/>
    <w:uiPriority w:val="99"/>
    <w:rPr>
      <w:rFonts w:ascii="Times" w:hAnsi="Times" w:eastAsia="宋体" w:cs="Times"/>
      <w:smallCaps/>
      <w:kern w:val="0"/>
      <w:sz w:val="20"/>
      <w:szCs w:val="20"/>
    </w:rPr>
  </w:style>
  <w:style w:type="paragraph" w:customStyle="1" w:styleId="154">
    <w:name w:val="TOC 标题3"/>
    <w:basedOn w:val="3"/>
    <w:next w:val="1"/>
    <w:semiHidden/>
    <w:qFormat/>
    <w:uiPriority w:val="99"/>
    <w:pPr>
      <w:widowControl/>
      <w:spacing w:before="480" w:after="0" w:line="276" w:lineRule="auto"/>
      <w:jc w:val="left"/>
      <w:outlineLvl w:val="9"/>
    </w:pPr>
    <w:rPr>
      <w:rFonts w:eastAsia="宋体"/>
      <w:b/>
      <w:bCs/>
      <w:color w:val="365F91"/>
      <w:kern w:val="0"/>
      <w:sz w:val="28"/>
      <w:szCs w:val="28"/>
    </w:rPr>
  </w:style>
  <w:style w:type="paragraph" w:customStyle="1" w:styleId="155">
    <w:name w:val="Decimal Aligned"/>
    <w:basedOn w:val="1"/>
    <w:qFormat/>
    <w:uiPriority w:val="40"/>
    <w:pPr>
      <w:widowControl/>
      <w:tabs>
        <w:tab w:val="decimal" w:pos="360"/>
      </w:tabs>
      <w:spacing w:after="200" w:line="276" w:lineRule="auto"/>
      <w:jc w:val="left"/>
    </w:pPr>
    <w:rPr>
      <w:rFonts w:ascii="Calibri" w:hAnsi="Calibri" w:cs="Calibri"/>
      <w:kern w:val="0"/>
      <w:sz w:val="22"/>
      <w:szCs w:val="22"/>
    </w:rPr>
  </w:style>
  <w:style w:type="character" w:customStyle="1" w:styleId="156">
    <w:name w:val="不明显强调2"/>
    <w:qFormat/>
    <w:uiPriority w:val="99"/>
    <w:rPr>
      <w:i/>
      <w:iCs/>
      <w:color w:val="7F7F7F"/>
    </w:rPr>
  </w:style>
  <w:style w:type="paragraph" w:customStyle="1" w:styleId="157">
    <w:name w:val="样式 环评文本 + 自动设置"/>
    <w:basedOn w:val="1"/>
    <w:qFormat/>
    <w:uiPriority w:val="99"/>
    <w:pPr>
      <w:adjustRightInd w:val="0"/>
      <w:snapToGrid w:val="0"/>
      <w:spacing w:line="360" w:lineRule="auto"/>
      <w:ind w:firstLine="480" w:firstLineChars="200"/>
    </w:pPr>
    <w:rPr>
      <w:sz w:val="24"/>
      <w:szCs w:val="24"/>
    </w:rPr>
  </w:style>
  <w:style w:type="paragraph" w:customStyle="1" w:styleId="158">
    <w:name w:val="样式 表头图头 + 自动设置"/>
    <w:basedOn w:val="1"/>
    <w:link w:val="160"/>
    <w:qFormat/>
    <w:uiPriority w:val="99"/>
    <w:pPr>
      <w:keepLines/>
      <w:widowControl/>
      <w:adjustRightInd w:val="0"/>
      <w:snapToGrid w:val="0"/>
      <w:spacing w:beforeLines="50"/>
      <w:jc w:val="center"/>
      <w:outlineLvl w:val="3"/>
    </w:pPr>
    <w:rPr>
      <w:b/>
      <w:bCs/>
      <w:color w:val="000000"/>
      <w:sz w:val="24"/>
      <w:szCs w:val="24"/>
    </w:rPr>
  </w:style>
  <w:style w:type="paragraph" w:customStyle="1" w:styleId="159">
    <w:name w:val="样式 居中"/>
    <w:basedOn w:val="1"/>
    <w:qFormat/>
    <w:uiPriority w:val="99"/>
    <w:pPr>
      <w:jc w:val="center"/>
    </w:pPr>
  </w:style>
  <w:style w:type="character" w:customStyle="1" w:styleId="160">
    <w:name w:val="样式 表头图头 + 自动设置 Char"/>
    <w:link w:val="158"/>
    <w:qFormat/>
    <w:locked/>
    <w:uiPriority w:val="99"/>
    <w:rPr>
      <w:rFonts w:ascii="Times New Roman" w:hAnsi="Times New Roman" w:eastAsia="宋体" w:cs="Times New Roman"/>
      <w:b/>
      <w:bCs/>
      <w:color w:val="000000"/>
      <w:sz w:val="24"/>
      <w:szCs w:val="24"/>
    </w:rPr>
  </w:style>
  <w:style w:type="character" w:customStyle="1" w:styleId="161">
    <w:name w:val="font21"/>
    <w:qFormat/>
    <w:uiPriority w:val="99"/>
    <w:rPr>
      <w:rFonts w:ascii="Times New Roman" w:hAnsi="Times New Roman" w:cs="Times New Roman"/>
      <w:color w:val="000000"/>
      <w:sz w:val="21"/>
      <w:szCs w:val="21"/>
      <w:u w:val="none"/>
    </w:rPr>
  </w:style>
  <w:style w:type="character" w:customStyle="1" w:styleId="162">
    <w:name w:val="font11"/>
    <w:qFormat/>
    <w:uiPriority w:val="99"/>
    <w:rPr>
      <w:rFonts w:ascii="Times New Roman" w:hAnsi="Times New Roman" w:cs="Times New Roman"/>
      <w:color w:val="000000"/>
      <w:sz w:val="21"/>
      <w:szCs w:val="21"/>
      <w:u w:val="none"/>
      <w:vertAlign w:val="superscript"/>
    </w:rPr>
  </w:style>
  <w:style w:type="character" w:customStyle="1" w:styleId="163">
    <w:name w:val="font01"/>
    <w:qFormat/>
    <w:uiPriority w:val="99"/>
    <w:rPr>
      <w:rFonts w:ascii="宋体" w:hAnsi="宋体" w:eastAsia="宋体" w:cs="宋体"/>
      <w:color w:val="000000"/>
      <w:sz w:val="21"/>
      <w:szCs w:val="21"/>
      <w:u w:val="none"/>
      <w:vertAlign w:val="superscript"/>
    </w:rPr>
  </w:style>
  <w:style w:type="paragraph" w:customStyle="1" w:styleId="164">
    <w:name w:val="环评文本"/>
    <w:basedOn w:val="1"/>
    <w:qFormat/>
    <w:uiPriority w:val="99"/>
    <w:pPr>
      <w:spacing w:line="360" w:lineRule="auto"/>
      <w:ind w:firstLine="480" w:firstLineChars="200"/>
    </w:pPr>
    <w:rPr>
      <w:color w:val="0000FF"/>
      <w:sz w:val="24"/>
      <w:szCs w:val="24"/>
    </w:rPr>
  </w:style>
  <w:style w:type="paragraph" w:customStyle="1" w:styleId="165">
    <w:name w:val="修订2"/>
    <w:hidden/>
    <w:semiHidden/>
    <w:qFormat/>
    <w:uiPriority w:val="99"/>
    <w:rPr>
      <w:rFonts w:ascii="Times New Roman" w:hAnsi="Times New Roman" w:eastAsia="宋体" w:cs="Times New Roman"/>
      <w:kern w:val="2"/>
      <w:sz w:val="21"/>
      <w:szCs w:val="21"/>
      <w:lang w:val="en-US" w:eastAsia="zh-CN" w:bidi="ar-SA"/>
    </w:rPr>
  </w:style>
  <w:style w:type="character" w:customStyle="1" w:styleId="166">
    <w:name w:val="不明显强调3"/>
    <w:qFormat/>
    <w:uiPriority w:val="19"/>
    <w:rPr>
      <w:i/>
      <w:iCs/>
      <w:color w:val="000000"/>
    </w:rPr>
  </w:style>
  <w:style w:type="paragraph" w:customStyle="1" w:styleId="167">
    <w:name w:val="无间隔1"/>
    <w:qFormat/>
    <w:uiPriority w:val="0"/>
    <w:pPr>
      <w:widowControl w:val="0"/>
      <w:snapToGrid w:val="0"/>
      <w:jc w:val="center"/>
    </w:pPr>
    <w:rPr>
      <w:rFonts w:ascii="Arial" w:hAnsi="Arial" w:eastAsia="华文楷体" w:cs="Times New Roman"/>
      <w:sz w:val="24"/>
      <w:szCs w:val="22"/>
      <w:lang w:val="en-US" w:eastAsia="zh-CN" w:bidi="ar-SA"/>
    </w:rPr>
  </w:style>
  <w:style w:type="paragraph" w:customStyle="1" w:styleId="168">
    <w:name w:val="表标题"/>
    <w:basedOn w:val="1"/>
    <w:qFormat/>
    <w:uiPriority w:val="0"/>
    <w:pPr>
      <w:suppressAutoHyphens/>
      <w:topLinePunct/>
      <w:spacing w:line="360" w:lineRule="auto"/>
      <w:jc w:val="center"/>
    </w:pPr>
    <w:rPr>
      <w:rFonts w:eastAsia="黑体"/>
      <w:b/>
      <w:kern w:val="0"/>
      <w:sz w:val="20"/>
    </w:rPr>
  </w:style>
  <w:style w:type="paragraph" w:customStyle="1" w:styleId="169">
    <w:name w:val="表格文字"/>
    <w:qFormat/>
    <w:uiPriority w:val="0"/>
    <w:pPr>
      <w:widowControl w:val="0"/>
      <w:autoSpaceDE w:val="0"/>
      <w:autoSpaceDN w:val="0"/>
      <w:adjustRightInd w:val="0"/>
      <w:jc w:val="center"/>
      <w:textAlignment w:val="baseline"/>
    </w:pPr>
    <w:rPr>
      <w:rFonts w:ascii="宋体" w:hAnsi="宋体" w:eastAsia="宋体" w:cs="Times New Roman"/>
      <w:color w:val="000000"/>
      <w:sz w:val="21"/>
      <w:lang w:val="en-US" w:eastAsia="zh-CN" w:bidi="ar-SA"/>
    </w:rPr>
  </w:style>
  <w:style w:type="paragraph" w:customStyle="1" w:styleId="170">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9BB9B-B425-4FC3-A6D9-8F9403296CB4}">
  <ds:schemaRefs/>
</ds:datastoreItem>
</file>

<file path=docProps/app.xml><?xml version="1.0" encoding="utf-8"?>
<Properties xmlns="http://schemas.openxmlformats.org/officeDocument/2006/extended-properties" xmlns:vt="http://schemas.openxmlformats.org/officeDocument/2006/docPropsVTypes">
  <Template>Normal</Template>
  <Company>eic</Company>
  <Pages>64</Pages>
  <Words>25719</Words>
  <Characters>27408</Characters>
  <Lines>285</Lines>
  <Paragraphs>80</Paragraphs>
  <TotalTime>31</TotalTime>
  <ScaleCrop>false</ScaleCrop>
  <LinksUpToDate>false</LinksUpToDate>
  <CharactersWithSpaces>27863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2019-07-26T03:17:00Z</dcterms:created>
  <dc:creator>赵文琳</dc:creator>
  <cp:lastModifiedBy>DZZW03</cp:lastModifiedBy>
  <cp:lastPrinted>2020-01-03T08:17:00Z</cp:lastPrinted>
  <dcterms:modified xsi:type="dcterms:W3CDTF">2023-09-27T07:48:24Z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1F8C3432F8F34772B41B6268458F3F44_12</vt:lpwstr>
  </property>
</Properties>
</file>